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1"/>
        <w:gridCol w:w="6034"/>
      </w:tblGrid>
      <w:tr>
        <w:trPr>
          <w:trHeight w:val="1336" w:hRule="atLeast"/>
        </w:trPr>
        <w:tc>
          <w:tcPr>
            <w:tcW w:w="3391" w:type="dxa"/>
          </w:tcPr>
          <w:p>
            <w:pPr>
              <w:pStyle w:val="TableParagraph"/>
              <w:ind w:left="50" w:right="559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BẾN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TRE</w:t>
            </w:r>
          </w:p>
          <w:p>
            <w:pPr>
              <w:pStyle w:val="TableParagraph"/>
              <w:ind w:left="369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BẾN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TRE</w:t>
            </w:r>
          </w:p>
          <w:p>
            <w:pPr>
              <w:pStyle w:val="TableParagraph"/>
              <w:spacing w:line="20" w:lineRule="exact"/>
              <w:ind w:left="589"/>
              <w:rPr>
                <w:sz w:val="2"/>
              </w:rPr>
            </w:pPr>
            <w:r>
              <w:rPr>
                <w:sz w:val="2"/>
              </w:rPr>
              <w:pict>
                <v:group style="width:62.65pt;height:.75pt;mso-position-horizontal-relative:char;mso-position-vertical-relative:line" id="docshapegroup1" coordorigin="0,0" coordsize="1253,15">
                  <v:line style="position:absolute" from="0,8" to="125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20"/>
              <w:ind w:left="220" w:right="7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75</w:t>
            </w:r>
            <w:r>
              <w:rPr>
                <w:spacing w:val="-2"/>
                <w:sz w:val="26"/>
              </w:rPr>
              <w:t>/2022/QĐST-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6034" w:type="dxa"/>
          </w:tcPr>
          <w:p>
            <w:pPr>
              <w:pStyle w:val="TableParagraph"/>
              <w:spacing w:line="287" w:lineRule="exact"/>
              <w:ind w:left="561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VIÊT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line="298" w:lineRule="exact"/>
              <w:ind w:left="1488"/>
              <w:rPr>
                <w:b/>
                <w:sz w:val="26"/>
              </w:rPr>
            </w:pPr>
            <w:r>
              <w:rPr>
                <w:spacing w:val="-1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Độc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phúc</w:t>
            </w:r>
          </w:p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ind w:left="1157"/>
              <w:rPr>
                <w:i/>
                <w:sz w:val="26"/>
              </w:rPr>
            </w:pPr>
            <w:r>
              <w:rPr>
                <w:i/>
                <w:sz w:val="26"/>
              </w:rPr>
              <w:t>Thành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phố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B,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5"/>
        <w:rPr>
          <w:sz w:val="11"/>
        </w:rPr>
      </w:pPr>
    </w:p>
    <w:p>
      <w:pPr>
        <w:pStyle w:val="Heading1"/>
        <w:spacing w:line="322" w:lineRule="exact" w:before="89"/>
        <w:ind w:left="3863" w:right="4292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0"/>
        <w:ind w:left="1796" w:right="2227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VIÊC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ind w:left="218" w:right="587" w:firstLine="650"/>
        <w:jc w:val="both"/>
      </w:pPr>
      <w:r>
        <w:rPr/>
        <w:t>Căn cứ vào các điều 48, 217, 218, 219 và khoản 2 Điều 273 của Bộ luật tố tụng dân sự;</w:t>
      </w:r>
    </w:p>
    <w:p>
      <w:pPr>
        <w:pStyle w:val="BodyText"/>
        <w:spacing w:line="321" w:lineRule="exact"/>
        <w:ind w:left="813"/>
        <w:jc w:val="both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 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 sự</w:t>
      </w:r>
      <w:r>
        <w:rPr>
          <w:spacing w:val="-4"/>
        </w:rPr>
        <w:t> </w:t>
      </w:r>
      <w:r>
        <w:rPr/>
        <w:t>sơ</w:t>
      </w:r>
      <w:r>
        <w:rPr>
          <w:spacing w:val="-1"/>
        </w:rPr>
        <w:t> </w:t>
      </w:r>
      <w:r>
        <w:rPr>
          <w:spacing w:val="-2"/>
        </w:rPr>
        <w:t>thẩm;</w:t>
      </w:r>
    </w:p>
    <w:p>
      <w:pPr>
        <w:pStyle w:val="BodyText"/>
        <w:ind w:left="160" w:right="583" w:firstLine="652"/>
        <w:jc w:val="both"/>
      </w:pPr>
      <w:r>
        <w:rPr/>
        <w:t>Xét thấy: </w:t>
      </w:r>
      <w:r>
        <w:rPr>
          <w:b/>
        </w:rPr>
        <w:t>N</w:t>
      </w:r>
      <w:r>
        <w:rPr/>
        <w:t>guyên đơn bà Phạm Thị H đã được Tòa án triệu tập hợp lệ thứ hai mà vẫn vắng mặt. Đồng thời, nguyên đơn bà Phạm Thị H không nộp tiền tạm ứng chi phí định giá tài sản và chi phí tố tụng khác theo quy định.</w:t>
      </w:r>
    </w:p>
    <w:p>
      <w:pPr>
        <w:pStyle w:val="Heading1"/>
        <w:spacing w:before="121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41" w:after="0"/>
        <w:ind w:left="160" w:right="585" w:firstLine="707"/>
        <w:jc w:val="both"/>
        <w:rPr>
          <w:sz w:val="28"/>
        </w:rPr>
      </w:pPr>
      <w:r>
        <w:rPr>
          <w:sz w:val="28"/>
        </w:rPr>
        <w:t>Đình chỉ việc giải quyết vụ án dân sự thụ lý số: 178/2022/TLST-DS ngày 11 tháng 10 năm 2022 về việc "Tranh chấp hợp đồng tặng cho quyền sử dụng đất", giữa: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47" w:after="0"/>
        <w:ind w:left="880" w:right="3662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1949; Địa chỉ: số A, xã S, thành phố B, tỉnh Bến Tre.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321" w:lineRule="exact" w:before="0" w:after="0"/>
        <w:ind w:left="1043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1"/>
          <w:sz w:val="28"/>
        </w:rPr>
        <w:t> </w:t>
      </w:r>
      <w:r>
        <w:rPr>
          <w:sz w:val="28"/>
        </w:rPr>
        <w:t>đơn: Bà</w:t>
      </w:r>
      <w:r>
        <w:rPr>
          <w:spacing w:val="-2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Tố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2000;</w:t>
      </w:r>
    </w:p>
    <w:p>
      <w:pPr>
        <w:pStyle w:val="BodyText"/>
        <w:ind w:left="880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3"/>
        </w:rPr>
        <w:t> </w:t>
      </w:r>
      <w:r>
        <w:rPr/>
        <w:t>số</w:t>
      </w:r>
      <w:r>
        <w:rPr>
          <w:spacing w:val="-1"/>
        </w:rPr>
        <w:t> </w:t>
      </w:r>
      <w:r>
        <w:rPr/>
        <w:t>A,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S,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1"/>
        </w:rPr>
        <w:t> </w:t>
      </w:r>
      <w:r>
        <w:rPr/>
        <w:t>B,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Bến</w:t>
      </w:r>
      <w:r>
        <w:rPr>
          <w:spacing w:val="-3"/>
        </w:rPr>
        <w:t> </w:t>
      </w:r>
      <w:r>
        <w:rPr>
          <w:spacing w:val="-4"/>
        </w:rPr>
        <w:t>Tre.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322" w:lineRule="exact" w:before="93" w:after="0"/>
        <w:ind w:left="1233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ind w:left="160" w:right="588" w:firstLine="791"/>
        <w:jc w:val="both"/>
      </w:pPr>
      <w:r>
        <w:rPr/>
        <w:t>Bà Phạm</w:t>
      </w:r>
      <w:r>
        <w:rPr>
          <w:spacing w:val="-2"/>
        </w:rPr>
        <w:t> </w:t>
      </w:r>
      <w:r>
        <w:rPr/>
        <w:t>Thị H được nhận lại đơn khởi kiện và tài liệu chứng cứ kèm</w:t>
      </w:r>
      <w:r>
        <w:rPr>
          <w:spacing w:val="-2"/>
        </w:rPr>
        <w:t> </w:t>
      </w:r>
      <w:r>
        <w:rPr/>
        <w:t>theo nếu có đơn yêu cầu.</w:t>
      </w:r>
    </w:p>
    <w:p>
      <w:pPr>
        <w:pStyle w:val="BodyText"/>
        <w:ind w:left="160" w:right="587" w:firstLine="707"/>
        <w:jc w:val="both"/>
      </w:pPr>
      <w:r>
        <w:rPr/>
        <w:t>Về án phí: Bà Phạm</w:t>
      </w:r>
      <w:r>
        <w:rPr>
          <w:spacing w:val="-2"/>
        </w:rPr>
        <w:t> </w:t>
      </w:r>
      <w:r>
        <w:rPr/>
        <w:t>Thị H</w:t>
      </w:r>
      <w:r>
        <w:rPr>
          <w:spacing w:val="-3"/>
        </w:rPr>
        <w:t> </w:t>
      </w:r>
      <w:r>
        <w:rPr/>
        <w:t>được miễn nộp</w:t>
      </w:r>
      <w:r>
        <w:rPr>
          <w:spacing w:val="-1"/>
        </w:rPr>
        <w:t> </w:t>
      </w:r>
      <w:r>
        <w:rPr/>
        <w:t>án phí</w:t>
      </w:r>
      <w:r>
        <w:rPr>
          <w:spacing w:val="-1"/>
        </w:rPr>
        <w:t> </w:t>
      </w:r>
      <w:r>
        <w:rPr/>
        <w:t>theo điểm</w:t>
      </w:r>
      <w:r>
        <w:rPr>
          <w:spacing w:val="-5"/>
        </w:rPr>
        <w:t> </w:t>
      </w:r>
      <w:r>
        <w:rPr/>
        <w:t>đ khoản 1 Điều 12 Nghị quyết số 326/2016/UBTVQH14 ngày 30/12/2016 của Ủy ban thường vụ Quốc hội.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60" w:right="586" w:firstLine="707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3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thời</w:t>
      </w:r>
      <w:r>
        <w:rPr>
          <w:spacing w:val="-1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07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kể 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hoặc kể từ ngày quyết định được niêm yết theo quy định của Bộ luật Tố tụng dân sự.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4"/>
        <w:gridCol w:w="4163"/>
      </w:tblGrid>
      <w:tr>
        <w:trPr>
          <w:trHeight w:val="1601" w:hRule="atLeast"/>
        </w:trPr>
        <w:tc>
          <w:tcPr>
            <w:tcW w:w="454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1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 đương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2"/>
                <w:sz w:val="22"/>
              </w:rPr>
              <w:t> (2b);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phố Bến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(1b);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2"/>
                <w:sz w:val="22"/>
              </w:rPr>
              <w:t> B(1b);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 </w:t>
            </w:r>
            <w:r>
              <w:rPr>
                <w:spacing w:val="-4"/>
                <w:sz w:val="22"/>
              </w:rPr>
              <w:t>(1b);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(4b).</w:t>
            </w:r>
          </w:p>
        </w:tc>
        <w:tc>
          <w:tcPr>
            <w:tcW w:w="4163" w:type="dxa"/>
          </w:tcPr>
          <w:p>
            <w:pPr>
              <w:pStyle w:val="TableParagraph"/>
              <w:spacing w:before="29"/>
              <w:ind w:left="1801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6"/>
              <w:ind w:left="0"/>
              <w:rPr>
                <w:sz w:val="34"/>
              </w:rPr>
            </w:pPr>
          </w:p>
          <w:p>
            <w:pPr>
              <w:pStyle w:val="TableParagraph"/>
              <w:ind w:left="1803" w:right="516"/>
              <w:jc w:val="center"/>
              <w:rPr>
                <w:sz w:val="26"/>
              </w:rPr>
            </w:pPr>
            <w:r>
              <w:rPr>
                <w:sz w:val="26"/>
              </w:rPr>
              <w:t>(đã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ký,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đóng</w:t>
            </w:r>
            <w:r>
              <w:rPr>
                <w:spacing w:val="-4"/>
                <w:sz w:val="26"/>
              </w:rPr>
              <w:t> dấu)</w:t>
            </w:r>
          </w:p>
          <w:p>
            <w:pPr>
              <w:pStyle w:val="TableParagraph"/>
              <w:spacing w:line="302" w:lineRule="exact" w:before="232"/>
              <w:ind w:left="1331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Huỳnh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Như</w:t>
            </w:r>
          </w:p>
        </w:tc>
      </w:tr>
    </w:tbl>
    <w:sectPr>
      <w:type w:val="continuous"/>
      <w:pgSz w:w="11910" w:h="16850"/>
      <w:pgMar w:top="980" w:bottom="280" w:left="14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9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5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2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98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34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71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32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8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8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9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8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2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3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7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796" w:right="216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0" w:firstLine="70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2023-04-24T06:29:27Z</dcterms:created>
  <dcterms:modified xsi:type="dcterms:W3CDTF">2023-04-24T06:29:27Z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