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5"/>
        <w:gridCol w:w="5825"/>
      </w:tblGrid>
      <w:tr>
        <w:trPr>
          <w:trHeight w:val="1638" w:hRule="atLeast"/>
        </w:trPr>
        <w:tc>
          <w:tcPr>
            <w:tcW w:w="3215" w:type="dxa"/>
          </w:tcPr>
          <w:p>
            <w:pPr>
              <w:pStyle w:val="TableParagraph"/>
              <w:ind w:left="414" w:right="105" w:hanging="19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NẬM PỒ TỈNH ĐIỆN BIÊN</w:t>
            </w:r>
          </w:p>
          <w:p>
            <w:pPr>
              <w:pStyle w:val="TableParagraph"/>
              <w:spacing w:before="7"/>
              <w:ind w:left="0"/>
              <w:rPr>
                <w:sz w:val="10"/>
              </w:rPr>
            </w:pPr>
          </w:p>
          <w:p>
            <w:pPr>
              <w:pStyle w:val="TableParagraph"/>
              <w:spacing w:line="20" w:lineRule="exact"/>
              <w:ind w:left="1036"/>
              <w:rPr>
                <w:sz w:val="2"/>
              </w:rPr>
            </w:pPr>
            <w:r>
              <w:rPr>
                <w:sz w:val="2"/>
              </w:rPr>
              <w:pict>
                <v:group style="width:42pt;height:.4pt;mso-position-horizontal-relative:char;mso-position-vertical-relative:line" id="docshapegroup1" coordorigin="0,0" coordsize="840,8">
                  <v:line style="position:absolute" from="0,4" to="840,4" stroked="true" strokeweight=".378pt" strokecolor="#000000">
                    <v:stroke dashstyle="solid"/>
                  </v:line>
                </v:group>
              </w:pict>
            </w:r>
            <w:r>
              <w:rPr>
                <w:sz w:val="2"/>
              </w:rPr>
            </w:r>
          </w:p>
          <w:p>
            <w:pPr>
              <w:pStyle w:val="TableParagraph"/>
              <w:spacing w:line="300" w:lineRule="atLeast"/>
              <w:ind w:left="498" w:right="105" w:hanging="449"/>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17/2022/HS-ST Ngày: 29-11-2022</w:t>
            </w:r>
          </w:p>
        </w:tc>
        <w:tc>
          <w:tcPr>
            <w:tcW w:w="5825" w:type="dxa"/>
          </w:tcPr>
          <w:p>
            <w:pPr>
              <w:pStyle w:val="TableParagraph"/>
              <w:spacing w:line="287" w:lineRule="exact"/>
              <w:ind w:left="36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64"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8"/>
        <w:ind w:left="0" w:firstLine="0"/>
        <w:jc w:val="left"/>
        <w:rPr>
          <w:sz w:val="17"/>
        </w:rPr>
      </w:pPr>
    </w:p>
    <w:p>
      <w:pPr>
        <w:spacing w:line="322" w:lineRule="exact" w:before="89"/>
        <w:ind w:left="1124" w:right="1130" w:firstLine="0"/>
        <w:jc w:val="center"/>
        <w:rPr>
          <w:b/>
          <w:sz w:val="28"/>
        </w:rPr>
      </w:pPr>
      <w:r>
        <w:rPr/>
        <w:pict>
          <v:line style="position:absolute;mso-position-horizontal-relative:page;mso-position-vertical-relative:paragraph;z-index:-15806464" from="318.049988pt,-66.869659pt" to="491.499988pt,-66.869659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404" w:right="1408"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5"/>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38"/>
        </w:rPr>
      </w:pPr>
    </w:p>
    <w:p>
      <w:pPr>
        <w:spacing w:before="0"/>
        <w:ind w:left="1128" w:right="1130"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NẬM</w:t>
      </w:r>
      <w:r>
        <w:rPr>
          <w:b/>
          <w:spacing w:val="-3"/>
          <w:sz w:val="28"/>
        </w:rPr>
        <w:t> </w:t>
      </w:r>
      <w:r>
        <w:rPr>
          <w:b/>
          <w:sz w:val="28"/>
        </w:rPr>
        <w:t>PỒ,</w:t>
      </w:r>
      <w:r>
        <w:rPr>
          <w:b/>
          <w:spacing w:val="-2"/>
          <w:sz w:val="28"/>
        </w:rPr>
        <w:t> </w:t>
      </w:r>
      <w:r>
        <w:rPr>
          <w:b/>
          <w:sz w:val="28"/>
        </w:rPr>
        <w:t>TỈNH</w:t>
      </w:r>
      <w:r>
        <w:rPr>
          <w:b/>
          <w:spacing w:val="-2"/>
          <w:sz w:val="28"/>
        </w:rPr>
        <w:t> </w:t>
      </w:r>
      <w:r>
        <w:rPr>
          <w:b/>
          <w:sz w:val="28"/>
        </w:rPr>
        <w:t>ĐIỆN</w:t>
      </w:r>
      <w:r>
        <w:rPr>
          <w:b/>
          <w:spacing w:val="-3"/>
          <w:sz w:val="28"/>
        </w:rPr>
        <w:t> </w:t>
      </w:r>
      <w:r>
        <w:rPr>
          <w:b/>
          <w:spacing w:val="-4"/>
          <w:sz w:val="28"/>
        </w:rPr>
        <w:t>BIÊN</w:t>
      </w:r>
    </w:p>
    <w:p>
      <w:pPr>
        <w:pStyle w:val="BodyText"/>
        <w:spacing w:before="3"/>
        <w:ind w:left="0" w:firstLine="0"/>
        <w:jc w:val="left"/>
        <w:rPr>
          <w:b/>
          <w:sz w:val="31"/>
        </w:rPr>
      </w:pPr>
    </w:p>
    <w:p>
      <w:pPr>
        <w:spacing w:before="1"/>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4" w:lineRule="auto" w:before="90"/>
        <w:ind w:left="821" w:right="2722" w:firstLine="0"/>
        <w:jc w:val="left"/>
        <w:rPr>
          <w:i/>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sz w:val="28"/>
        </w:rPr>
        <w:t>Phạm</w:t>
      </w:r>
      <w:r>
        <w:rPr>
          <w:spacing w:val="-7"/>
          <w:sz w:val="28"/>
        </w:rPr>
        <w:t> </w:t>
      </w:r>
      <w:r>
        <w:rPr>
          <w:sz w:val="28"/>
        </w:rPr>
        <w:t>Thị</w:t>
      </w:r>
      <w:r>
        <w:rPr>
          <w:spacing w:val="-2"/>
          <w:sz w:val="28"/>
        </w:rPr>
        <w:t> </w:t>
      </w:r>
      <w:r>
        <w:rPr>
          <w:sz w:val="28"/>
        </w:rPr>
        <w:t>Sao C</w:t>
      </w:r>
      <w:r>
        <w:rPr>
          <w:i/>
          <w:sz w:val="28"/>
        </w:rPr>
        <w:t>ác Hội thẩm nhân dân:</w:t>
      </w:r>
    </w:p>
    <w:p>
      <w:pPr>
        <w:pStyle w:val="ListParagraph"/>
        <w:numPr>
          <w:ilvl w:val="0"/>
          <w:numId w:val="1"/>
        </w:numPr>
        <w:tabs>
          <w:tab w:pos="1103" w:val="left" w:leader="none"/>
        </w:tabs>
        <w:spacing w:line="240" w:lineRule="auto" w:before="2" w:after="0"/>
        <w:ind w:left="1102" w:right="0" w:hanging="282"/>
        <w:jc w:val="left"/>
        <w:rPr>
          <w:sz w:val="28"/>
        </w:rPr>
      </w:pPr>
      <w:r>
        <w:rPr>
          <w:sz w:val="28"/>
        </w:rPr>
        <w:t>Ông</w:t>
      </w:r>
      <w:r>
        <w:rPr>
          <w:spacing w:val="-5"/>
          <w:sz w:val="28"/>
        </w:rPr>
        <w:t> </w:t>
      </w:r>
      <w:r>
        <w:rPr>
          <w:sz w:val="28"/>
        </w:rPr>
        <w:t>Mùa</w:t>
      </w:r>
      <w:r>
        <w:rPr>
          <w:spacing w:val="-3"/>
          <w:sz w:val="28"/>
        </w:rPr>
        <w:t> </w:t>
      </w:r>
      <w:r>
        <w:rPr>
          <w:sz w:val="28"/>
        </w:rPr>
        <w:t>Chớ</w:t>
      </w:r>
      <w:r>
        <w:rPr>
          <w:spacing w:val="-2"/>
          <w:sz w:val="28"/>
        </w:rPr>
        <w:t> </w:t>
      </w:r>
      <w:r>
        <w:rPr>
          <w:spacing w:val="-4"/>
          <w:sz w:val="28"/>
        </w:rPr>
        <w:t>Sùng</w:t>
      </w:r>
    </w:p>
    <w:p>
      <w:pPr>
        <w:pStyle w:val="ListParagraph"/>
        <w:numPr>
          <w:ilvl w:val="0"/>
          <w:numId w:val="1"/>
        </w:numPr>
        <w:tabs>
          <w:tab w:pos="1103" w:val="left" w:leader="none"/>
        </w:tabs>
        <w:spacing w:line="240" w:lineRule="auto" w:before="100" w:after="0"/>
        <w:ind w:left="1102" w:right="0" w:hanging="282"/>
        <w:jc w:val="left"/>
        <w:rPr>
          <w:sz w:val="28"/>
        </w:rPr>
      </w:pPr>
      <w:r>
        <w:rPr>
          <w:sz w:val="28"/>
        </w:rPr>
        <w:t>Ông</w:t>
      </w:r>
      <w:r>
        <w:rPr>
          <w:spacing w:val="-4"/>
          <w:sz w:val="28"/>
        </w:rPr>
        <w:t> </w:t>
      </w:r>
      <w:r>
        <w:rPr>
          <w:sz w:val="28"/>
        </w:rPr>
        <w:t>Khoàng</w:t>
      </w:r>
      <w:r>
        <w:rPr>
          <w:spacing w:val="-3"/>
          <w:sz w:val="28"/>
        </w:rPr>
        <w:t> </w:t>
      </w:r>
      <w:r>
        <w:rPr>
          <w:sz w:val="28"/>
        </w:rPr>
        <w:t>Văn</w:t>
      </w:r>
      <w:r>
        <w:rPr>
          <w:spacing w:val="-6"/>
          <w:sz w:val="28"/>
        </w:rPr>
        <w:t> </w:t>
      </w:r>
      <w:r>
        <w:rPr>
          <w:spacing w:val="-5"/>
          <w:sz w:val="28"/>
        </w:rPr>
        <w:t>Sơn</w:t>
      </w:r>
    </w:p>
    <w:p>
      <w:pPr>
        <w:pStyle w:val="ListParagraph"/>
        <w:numPr>
          <w:ilvl w:val="1"/>
          <w:numId w:val="1"/>
        </w:numPr>
        <w:tabs>
          <w:tab w:pos="986" w:val="left" w:leader="none"/>
        </w:tabs>
        <w:spacing w:line="237" w:lineRule="auto" w:before="106" w:after="0"/>
        <w:ind w:left="102" w:right="105" w:firstLine="719"/>
        <w:jc w:val="both"/>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tòa:</w:t>
      </w:r>
      <w:r>
        <w:rPr>
          <w:b/>
          <w:i/>
          <w:spacing w:val="-5"/>
          <w:sz w:val="28"/>
        </w:rPr>
        <w:t> </w:t>
      </w:r>
      <w:r>
        <w:rPr>
          <w:sz w:val="28"/>
        </w:rPr>
        <w:t>Ông</w:t>
      </w:r>
      <w:r>
        <w:rPr>
          <w:spacing w:val="-1"/>
          <w:sz w:val="28"/>
        </w:rPr>
        <w:t> </w:t>
      </w:r>
      <w:r>
        <w:rPr>
          <w:sz w:val="28"/>
        </w:rPr>
        <w:t>Lò</w:t>
      </w:r>
      <w:r>
        <w:rPr>
          <w:spacing w:val="-1"/>
          <w:sz w:val="28"/>
        </w:rPr>
        <w:t> </w:t>
      </w:r>
      <w:r>
        <w:rPr>
          <w:sz w:val="28"/>
        </w:rPr>
        <w:t>Văn</w:t>
      </w:r>
      <w:r>
        <w:rPr>
          <w:spacing w:val="-1"/>
          <w:sz w:val="28"/>
        </w:rPr>
        <w:t> </w:t>
      </w:r>
      <w:r>
        <w:rPr>
          <w:sz w:val="28"/>
        </w:rPr>
        <w:t>Hương -</w:t>
      </w:r>
      <w:r>
        <w:rPr>
          <w:spacing w:val="-5"/>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1"/>
          <w:sz w:val="28"/>
        </w:rPr>
        <w:t> </w:t>
      </w:r>
      <w:r>
        <w:rPr>
          <w:sz w:val="28"/>
        </w:rPr>
        <w:t>nhân</w:t>
      </w:r>
      <w:r>
        <w:rPr>
          <w:spacing w:val="-1"/>
          <w:sz w:val="28"/>
        </w:rPr>
        <w:t> </w:t>
      </w:r>
      <w:r>
        <w:rPr>
          <w:sz w:val="28"/>
        </w:rPr>
        <w:t>dân</w:t>
      </w:r>
      <w:r>
        <w:rPr>
          <w:spacing w:val="-1"/>
          <w:sz w:val="28"/>
        </w:rPr>
        <w:t> </w:t>
      </w:r>
      <w:r>
        <w:rPr>
          <w:sz w:val="28"/>
        </w:rPr>
        <w:t>huyện N, tỉnh Điện Biên.</w:t>
      </w:r>
    </w:p>
    <w:p>
      <w:pPr>
        <w:pStyle w:val="ListParagraph"/>
        <w:numPr>
          <w:ilvl w:val="1"/>
          <w:numId w:val="1"/>
        </w:numPr>
        <w:tabs>
          <w:tab w:pos="1034" w:val="left" w:leader="none"/>
        </w:tabs>
        <w:spacing w:line="232" w:lineRule="auto" w:before="119" w:after="0"/>
        <w:ind w:left="102" w:right="105" w:firstLine="719"/>
        <w:jc w:val="both"/>
        <w:rPr>
          <w:b/>
          <w:i/>
          <w:sz w:val="28"/>
        </w:rPr>
      </w:pPr>
      <w:r>
        <w:rPr>
          <w:b/>
          <w:i/>
          <w:sz w:val="28"/>
        </w:rPr>
        <w:t>Đại diện Viện kiểm sát nhân dân huyện N, tỉnh Điện Biên tham gia</w:t>
      </w:r>
      <w:r>
        <w:rPr>
          <w:b/>
          <w:i/>
          <w:sz w:val="28"/>
        </w:rPr>
        <w:t> phiên toà</w:t>
      </w:r>
      <w:r>
        <w:rPr>
          <w:b/>
          <w:sz w:val="28"/>
        </w:rPr>
        <w:t>: </w:t>
      </w:r>
      <w:r>
        <w:rPr>
          <w:sz w:val="28"/>
        </w:rPr>
        <w:t>Ông Lê Xuân Chiến - Kiểm sát viên.</w:t>
      </w:r>
    </w:p>
    <w:p>
      <w:pPr>
        <w:pStyle w:val="BodyText"/>
        <w:spacing w:before="104"/>
        <w:ind w:right="102"/>
      </w:pPr>
      <w:r>
        <w:rPr/>
        <w:t>Ngày 29 tháng 11 năm 2022, tại Nhà Văn hóa bản B 1, xã B, huyện N, tỉnh Điện Biên xét xử sơ thẩm công khai vụ án hình sự thụ lý số: 10/2022/TLST-HS ngày 26 tháng 10 năm 2022, theo Quyết định đưa vụ án ra xét xử số: 17/2022/QĐXXST-HS ngày</w:t>
      </w:r>
      <w:r>
        <w:rPr>
          <w:spacing w:val="-2"/>
        </w:rPr>
        <w:t> </w:t>
      </w:r>
      <w:r>
        <w:rPr/>
        <w:t>16 tháng 11 năm</w:t>
      </w:r>
      <w:r>
        <w:rPr>
          <w:spacing w:val="-1"/>
        </w:rPr>
        <w:t> </w:t>
      </w:r>
      <w:r>
        <w:rPr/>
        <w:t>2022 đối với bị cáo:</w:t>
      </w:r>
    </w:p>
    <w:p>
      <w:pPr>
        <w:pStyle w:val="BodyText"/>
        <w:spacing w:before="100"/>
        <w:ind w:right="102"/>
      </w:pPr>
      <w:r>
        <w:rPr/>
        <w:t>Họ và tên: Giàng Thị M; sinh ngày 04 tháng 9 năm 1978 tại huyện M, tỉnh Yên Bái; Nơi cư trú: Bản K, xã B, huyện N, tỉnh Điện Biên; Nghề nghiệp: Nông nghiệp; Trình độ học vấn: Không; Dân tộc: Mông; Giới tính: Nữ; Tôn giáo:</w:t>
      </w:r>
      <w:r>
        <w:rPr>
          <w:spacing w:val="40"/>
        </w:rPr>
        <w:t> </w:t>
      </w:r>
      <w:r>
        <w:rPr/>
        <w:t>Không; Quốc tịch: Việt Nam; Con ông Giàng A C (đã chết) và bà Mùa Thị D; Bị cáo có chồng là Mùa A Ch và 06 người con; Tiền án: Không; Tiền sự: Không. Nhân thân: Bị cáo chưa bị kết án, chưa bị xử phạt hành chính.</w:t>
      </w:r>
      <w:r>
        <w:rPr>
          <w:spacing w:val="29"/>
        </w:rPr>
        <w:t> </w:t>
      </w:r>
      <w:r>
        <w:rPr/>
        <w:t>Bị cáo bị bắt, tạm giữ từ ngày 18/6/2022, sau đó tạm giam từ ngày 26/6/2022 cho tới nay, có mặt.</w:t>
      </w:r>
    </w:p>
    <w:p>
      <w:pPr>
        <w:pStyle w:val="ListParagraph"/>
        <w:numPr>
          <w:ilvl w:val="1"/>
          <w:numId w:val="1"/>
        </w:numPr>
        <w:tabs>
          <w:tab w:pos="1014" w:val="left" w:leader="none"/>
        </w:tabs>
        <w:spacing w:line="240" w:lineRule="auto" w:before="101" w:after="0"/>
        <w:ind w:left="102" w:right="103" w:firstLine="719"/>
        <w:jc w:val="both"/>
        <w:rPr>
          <w:i/>
          <w:sz w:val="28"/>
        </w:rPr>
      </w:pPr>
      <w:r>
        <w:rPr>
          <w:i/>
          <w:sz w:val="28"/>
        </w:rPr>
        <w:t>Người bào chữa cho bị cáo Giàng Thị M: </w:t>
      </w:r>
      <w:r>
        <w:rPr>
          <w:sz w:val="28"/>
        </w:rPr>
        <w:t>Bà Nguyễn Thị Kim Ngân, là Luật sư thực hiện trợ giúp pháp lý của Trung tâm trợ giúp pháp lý Nhà nước tỉnh Điện Biên, có mặt.</w:t>
      </w:r>
    </w:p>
    <w:p>
      <w:pPr>
        <w:pStyle w:val="ListParagraph"/>
        <w:numPr>
          <w:ilvl w:val="1"/>
          <w:numId w:val="1"/>
        </w:numPr>
        <w:tabs>
          <w:tab w:pos="981" w:val="left" w:leader="none"/>
        </w:tabs>
        <w:spacing w:line="237" w:lineRule="auto" w:before="102" w:after="0"/>
        <w:ind w:left="102" w:right="100" w:firstLine="719"/>
        <w:jc w:val="both"/>
        <w:rPr>
          <w:i/>
          <w:sz w:val="28"/>
        </w:rPr>
      </w:pPr>
      <w:r>
        <w:rPr>
          <w:i/>
          <w:sz w:val="28"/>
        </w:rPr>
        <w:t>Người</w:t>
      </w:r>
      <w:r>
        <w:rPr>
          <w:i/>
          <w:spacing w:val="-18"/>
          <w:sz w:val="28"/>
        </w:rPr>
        <w:t> </w:t>
      </w:r>
      <w:r>
        <w:rPr>
          <w:i/>
          <w:sz w:val="28"/>
        </w:rPr>
        <w:t>phiên</w:t>
      </w:r>
      <w:r>
        <w:rPr>
          <w:i/>
          <w:spacing w:val="-17"/>
          <w:sz w:val="28"/>
        </w:rPr>
        <w:t> </w:t>
      </w:r>
      <w:r>
        <w:rPr>
          <w:i/>
          <w:sz w:val="28"/>
        </w:rPr>
        <w:t>dịch</w:t>
      </w:r>
      <w:r>
        <w:rPr>
          <w:i/>
          <w:spacing w:val="-18"/>
          <w:sz w:val="28"/>
        </w:rPr>
        <w:t> </w:t>
      </w:r>
      <w:r>
        <w:rPr>
          <w:i/>
          <w:sz w:val="28"/>
        </w:rPr>
        <w:t>cho</w:t>
      </w:r>
      <w:r>
        <w:rPr>
          <w:i/>
          <w:spacing w:val="-17"/>
          <w:sz w:val="28"/>
        </w:rPr>
        <w:t> </w:t>
      </w:r>
      <w:r>
        <w:rPr>
          <w:i/>
          <w:sz w:val="28"/>
        </w:rPr>
        <w:t>bị</w:t>
      </w:r>
      <w:r>
        <w:rPr>
          <w:i/>
          <w:spacing w:val="-17"/>
          <w:sz w:val="28"/>
        </w:rPr>
        <w:t> </w:t>
      </w:r>
      <w:r>
        <w:rPr>
          <w:i/>
          <w:sz w:val="28"/>
        </w:rPr>
        <w:t>cáo</w:t>
      </w:r>
      <w:r>
        <w:rPr>
          <w:i/>
          <w:spacing w:val="-18"/>
          <w:sz w:val="28"/>
        </w:rPr>
        <w:t> </w:t>
      </w:r>
      <w:r>
        <w:rPr>
          <w:i/>
          <w:sz w:val="28"/>
        </w:rPr>
        <w:t>Giàng</w:t>
      </w:r>
      <w:r>
        <w:rPr>
          <w:i/>
          <w:spacing w:val="-17"/>
          <w:sz w:val="28"/>
        </w:rPr>
        <w:t> </w:t>
      </w:r>
      <w:r>
        <w:rPr>
          <w:i/>
          <w:sz w:val="28"/>
        </w:rPr>
        <w:t>Thị</w:t>
      </w:r>
      <w:r>
        <w:rPr>
          <w:i/>
          <w:spacing w:val="-18"/>
          <w:sz w:val="28"/>
        </w:rPr>
        <w:t> </w:t>
      </w:r>
      <w:r>
        <w:rPr>
          <w:i/>
          <w:sz w:val="28"/>
        </w:rPr>
        <w:t>M:</w:t>
      </w:r>
      <w:r>
        <w:rPr>
          <w:i/>
          <w:spacing w:val="-17"/>
          <w:sz w:val="28"/>
        </w:rPr>
        <w:t> </w:t>
      </w:r>
      <w:r>
        <w:rPr>
          <w:sz w:val="28"/>
        </w:rPr>
        <w:t>Ông</w:t>
      </w:r>
      <w:r>
        <w:rPr>
          <w:spacing w:val="-16"/>
          <w:sz w:val="28"/>
        </w:rPr>
        <w:t> </w:t>
      </w:r>
      <w:r>
        <w:rPr>
          <w:sz w:val="28"/>
        </w:rPr>
        <w:t>Hồ</w:t>
      </w:r>
      <w:r>
        <w:rPr>
          <w:spacing w:val="-16"/>
          <w:sz w:val="28"/>
        </w:rPr>
        <w:t> </w:t>
      </w:r>
      <w:r>
        <w:rPr>
          <w:sz w:val="28"/>
        </w:rPr>
        <w:t>A</w:t>
      </w:r>
      <w:r>
        <w:rPr>
          <w:spacing w:val="-18"/>
          <w:sz w:val="28"/>
        </w:rPr>
        <w:t> </w:t>
      </w:r>
      <w:r>
        <w:rPr>
          <w:sz w:val="28"/>
        </w:rPr>
        <w:t>D1,</w:t>
      </w:r>
      <w:r>
        <w:rPr>
          <w:spacing w:val="-17"/>
          <w:sz w:val="28"/>
        </w:rPr>
        <w:t> </w:t>
      </w:r>
      <w:r>
        <w:rPr>
          <w:sz w:val="28"/>
        </w:rPr>
        <w:t>sinh</w:t>
      </w:r>
      <w:r>
        <w:rPr>
          <w:spacing w:val="-18"/>
          <w:sz w:val="28"/>
        </w:rPr>
        <w:t> </w:t>
      </w:r>
      <w:r>
        <w:rPr>
          <w:sz w:val="28"/>
        </w:rPr>
        <w:t>năm</w:t>
      </w:r>
      <w:r>
        <w:rPr>
          <w:spacing w:val="-17"/>
          <w:sz w:val="28"/>
        </w:rPr>
        <w:t> </w:t>
      </w:r>
      <w:r>
        <w:rPr>
          <w:sz w:val="28"/>
        </w:rPr>
        <w:t>1984;</w:t>
      </w:r>
      <w:r>
        <w:rPr>
          <w:spacing w:val="-18"/>
          <w:sz w:val="28"/>
        </w:rPr>
        <w:t> </w:t>
      </w:r>
      <w:r>
        <w:rPr>
          <w:sz w:val="28"/>
        </w:rPr>
        <w:t>địa chỉ:</w:t>
      </w:r>
      <w:r>
        <w:rPr>
          <w:spacing w:val="-9"/>
          <w:sz w:val="28"/>
        </w:rPr>
        <w:t> </w:t>
      </w:r>
      <w:r>
        <w:rPr>
          <w:sz w:val="28"/>
        </w:rPr>
        <w:t>Bản</w:t>
      </w:r>
      <w:r>
        <w:rPr>
          <w:spacing w:val="-9"/>
          <w:sz w:val="28"/>
        </w:rPr>
        <w:t> </w:t>
      </w:r>
      <w:r>
        <w:rPr>
          <w:sz w:val="28"/>
        </w:rPr>
        <w:t>Huổi</w:t>
      </w:r>
      <w:r>
        <w:rPr>
          <w:spacing w:val="-9"/>
          <w:sz w:val="28"/>
        </w:rPr>
        <w:t> </w:t>
      </w:r>
      <w:r>
        <w:rPr>
          <w:sz w:val="28"/>
        </w:rPr>
        <w:t>Hâu,</w:t>
      </w:r>
      <w:r>
        <w:rPr>
          <w:spacing w:val="-9"/>
          <w:sz w:val="28"/>
        </w:rPr>
        <w:t> </w:t>
      </w:r>
      <w:r>
        <w:rPr>
          <w:sz w:val="28"/>
        </w:rPr>
        <w:t>xã</w:t>
      </w:r>
      <w:r>
        <w:rPr>
          <w:spacing w:val="-8"/>
          <w:sz w:val="28"/>
        </w:rPr>
        <w:t> </w:t>
      </w:r>
      <w:r>
        <w:rPr>
          <w:sz w:val="28"/>
        </w:rPr>
        <w:t>Nà</w:t>
      </w:r>
      <w:r>
        <w:rPr>
          <w:spacing w:val="-8"/>
          <w:sz w:val="28"/>
        </w:rPr>
        <w:t> </w:t>
      </w:r>
      <w:r>
        <w:rPr>
          <w:sz w:val="28"/>
        </w:rPr>
        <w:t>Khoa,</w:t>
      </w:r>
      <w:r>
        <w:rPr>
          <w:spacing w:val="-8"/>
          <w:sz w:val="28"/>
        </w:rPr>
        <w:t> </w:t>
      </w:r>
      <w:r>
        <w:rPr>
          <w:sz w:val="28"/>
        </w:rPr>
        <w:t>huyện</w:t>
      </w:r>
      <w:r>
        <w:rPr>
          <w:spacing w:val="-7"/>
          <w:sz w:val="28"/>
        </w:rPr>
        <w:t> </w:t>
      </w:r>
      <w:r>
        <w:rPr>
          <w:sz w:val="28"/>
        </w:rPr>
        <w:t>N,</w:t>
      </w:r>
      <w:r>
        <w:rPr>
          <w:spacing w:val="-9"/>
          <w:sz w:val="28"/>
        </w:rPr>
        <w:t> </w:t>
      </w:r>
      <w:r>
        <w:rPr>
          <w:sz w:val="28"/>
        </w:rPr>
        <w:t>tỉnh</w:t>
      </w:r>
      <w:r>
        <w:rPr>
          <w:spacing w:val="-9"/>
          <w:sz w:val="28"/>
        </w:rPr>
        <w:t> </w:t>
      </w:r>
      <w:r>
        <w:rPr>
          <w:sz w:val="28"/>
        </w:rPr>
        <w:t>Điện</w:t>
      </w:r>
      <w:r>
        <w:rPr>
          <w:spacing w:val="-9"/>
          <w:sz w:val="28"/>
        </w:rPr>
        <w:t> </w:t>
      </w:r>
      <w:r>
        <w:rPr>
          <w:sz w:val="28"/>
        </w:rPr>
        <w:t>Biên,</w:t>
      </w:r>
      <w:r>
        <w:rPr>
          <w:spacing w:val="-11"/>
          <w:sz w:val="28"/>
        </w:rPr>
        <w:t> </w:t>
      </w:r>
      <w:r>
        <w:rPr>
          <w:sz w:val="28"/>
        </w:rPr>
        <w:t>có</w:t>
      </w:r>
      <w:r>
        <w:rPr>
          <w:spacing w:val="-4"/>
          <w:sz w:val="28"/>
        </w:rPr>
        <w:t> </w:t>
      </w:r>
      <w:r>
        <w:rPr>
          <w:sz w:val="28"/>
        </w:rPr>
        <w:t>mặt.</w:t>
      </w:r>
    </w:p>
    <w:p>
      <w:pPr>
        <w:spacing w:before="106"/>
        <w:ind w:left="857" w:right="113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3"/>
          <w:sz w:val="28"/>
        </w:rPr>
        <w:t> </w:t>
      </w:r>
      <w:r>
        <w:rPr>
          <w:b/>
          <w:spacing w:val="-5"/>
          <w:sz w:val="28"/>
        </w:rPr>
        <w:t>ÁN:</w:t>
      </w:r>
    </w:p>
    <w:p>
      <w:pPr>
        <w:pStyle w:val="BodyText"/>
        <w:spacing w:line="237" w:lineRule="auto"/>
        <w:ind w:right="115"/>
      </w:pPr>
      <w:r>
        <w:rPr/>
        <w:t>Theo các 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spacing w:after="0" w:line="237" w:lineRule="auto"/>
        <w:sectPr>
          <w:type w:val="continuous"/>
          <w:pgSz w:w="11910" w:h="16850"/>
          <w:pgMar w:top="1120" w:bottom="280" w:left="1600" w:right="740"/>
        </w:sectPr>
      </w:pPr>
    </w:p>
    <w:p>
      <w:pPr>
        <w:pStyle w:val="BodyText"/>
        <w:spacing w:before="65"/>
        <w:ind w:right="105"/>
      </w:pPr>
      <w:r>
        <w:rPr/>
        <w:t>Hồi 22 giờ 10 phút,</w:t>
      </w:r>
      <w:r>
        <w:rPr>
          <w:spacing w:val="-1"/>
        </w:rPr>
        <w:t> </w:t>
      </w:r>
      <w:r>
        <w:rPr/>
        <w:t>ngày 17/6/2022,</w:t>
      </w:r>
      <w:r>
        <w:rPr>
          <w:spacing w:val="-1"/>
        </w:rPr>
        <w:t> </w:t>
      </w:r>
      <w:r>
        <w:rPr/>
        <w:t>tổ công tác của Đồn Biên phòng B</w:t>
      </w:r>
      <w:r>
        <w:rPr>
          <w:spacing w:val="-1"/>
        </w:rPr>
        <w:t> </w:t>
      </w:r>
      <w:r>
        <w:rPr/>
        <w:t>phối hợp với Công an</w:t>
      </w:r>
      <w:r>
        <w:rPr>
          <w:spacing w:val="-1"/>
        </w:rPr>
        <w:t> </w:t>
      </w:r>
      <w:r>
        <w:rPr/>
        <w:t>huyện N</w:t>
      </w:r>
      <w:r>
        <w:rPr>
          <w:spacing w:val="-1"/>
        </w:rPr>
        <w:t> </w:t>
      </w:r>
      <w:r>
        <w:rPr/>
        <w:t>và Công an xã B đang làm</w:t>
      </w:r>
      <w:r>
        <w:rPr>
          <w:spacing w:val="-5"/>
        </w:rPr>
        <w:t> </w:t>
      </w:r>
      <w:r>
        <w:rPr/>
        <w:t>nhiệm</w:t>
      </w:r>
      <w:r>
        <w:rPr>
          <w:spacing w:val="-5"/>
        </w:rPr>
        <w:t> </w:t>
      </w:r>
      <w:r>
        <w:rPr/>
        <w:t>vụ tại khu vực</w:t>
      </w:r>
      <w:r>
        <w:rPr>
          <w:spacing w:val="-1"/>
        </w:rPr>
        <w:t> </w:t>
      </w:r>
      <w:r>
        <w:rPr/>
        <w:t>Mốc</w:t>
      </w:r>
      <w:r>
        <w:rPr>
          <w:spacing w:val="-2"/>
        </w:rPr>
        <w:t> </w:t>
      </w:r>
      <w:r>
        <w:rPr/>
        <w:t>56 biên giới Việt Nam – Lào, thuộc bản K, xã B, huyện N, tỉnh Điện Biên, phát hiện Giàng Thị M</w:t>
      </w:r>
      <w:r>
        <w:rPr>
          <w:spacing w:val="-1"/>
        </w:rPr>
        <w:t> </w:t>
      </w:r>
      <w:r>
        <w:rPr/>
        <w:t>đang đi bộ</w:t>
      </w:r>
      <w:r>
        <w:rPr>
          <w:spacing w:val="-1"/>
        </w:rPr>
        <w:t> </w:t>
      </w:r>
      <w:r>
        <w:rPr/>
        <w:t>về</w:t>
      </w:r>
      <w:r>
        <w:rPr>
          <w:spacing w:val="-2"/>
        </w:rPr>
        <w:t> </w:t>
      </w:r>
      <w:r>
        <w:rPr/>
        <w:t>hướng bản K,</w:t>
      </w:r>
      <w:r>
        <w:rPr>
          <w:spacing w:val="-1"/>
        </w:rPr>
        <w:t> </w:t>
      </w:r>
      <w:r>
        <w:rPr/>
        <w:t>xã B</w:t>
      </w:r>
      <w:r>
        <w:rPr>
          <w:spacing w:val="-1"/>
        </w:rPr>
        <w:t> </w:t>
      </w:r>
      <w:r>
        <w:rPr/>
        <w:t>có</w:t>
      </w:r>
      <w:r>
        <w:rPr>
          <w:spacing w:val="-1"/>
        </w:rPr>
        <w:t> </w:t>
      </w:r>
      <w:r>
        <w:rPr/>
        <w:t>biểu hiện</w:t>
      </w:r>
      <w:r>
        <w:rPr>
          <w:spacing w:val="-1"/>
        </w:rPr>
        <w:t> </w:t>
      </w:r>
      <w:r>
        <w:rPr/>
        <w:t>nghi vấn vi</w:t>
      </w:r>
      <w:r>
        <w:rPr>
          <w:spacing w:val="-1"/>
        </w:rPr>
        <w:t> </w:t>
      </w:r>
      <w:r>
        <w:rPr/>
        <w:t>phạm</w:t>
      </w:r>
      <w:r>
        <w:rPr>
          <w:spacing w:val="-6"/>
        </w:rPr>
        <w:t> </w:t>
      </w:r>
      <w:r>
        <w:rPr/>
        <w:t>pháp luật, nên đã yêu cầu dừng lại để kiểm tra. Sau khi tổ công tác giải thích, Giàng Thị M đã tự giác giao nộp cho tổ công tác 01 gói nilon màu hồng và 01 gói nilon màu trắng, M đang cầm trong tay phải. Tổ công tác tiến hành kiểm tra gói nilon màu hồng, phát hiện bên trong có 88 (tám mươi tám) viên nén màu hồng (nghi là ma</w:t>
      </w:r>
      <w:r>
        <w:rPr>
          <w:spacing w:val="40"/>
        </w:rPr>
        <w:t> </w:t>
      </w:r>
      <w:r>
        <w:rPr/>
        <w:t>túy tổng hợp) và kiểm tra gói nilon màu trắng có chứa chất bột màu trắng đục</w:t>
      </w:r>
      <w:r>
        <w:rPr>
          <w:spacing w:val="80"/>
        </w:rPr>
        <w:t> </w:t>
      </w:r>
      <w:r>
        <w:rPr/>
        <w:t>(nghi là Heroine). Tổ</w:t>
      </w:r>
      <w:r>
        <w:rPr>
          <w:spacing w:val="-1"/>
        </w:rPr>
        <w:t> </w:t>
      </w:r>
      <w:r>
        <w:rPr/>
        <w:t>công tác đã mời người chứng kiến, tiến hành lập biên bản bắt người phạm tội quả tang và thu giữ 02 gói nilon nêu trên.</w:t>
      </w:r>
    </w:p>
    <w:p>
      <w:pPr>
        <w:pStyle w:val="BodyText"/>
        <w:spacing w:before="102"/>
        <w:ind w:right="106"/>
      </w:pPr>
      <w:r>
        <w:rPr/>
        <w:t>Tại cơ quan điều tra Giàng Thị M khai nhận: 01 gói nilon màu hồng có chứa 88 viên nén màu hồng là ma túy tổng hợp và 01 gói nilon màu trắng có chứa chất bột màu trắng đục là Heroine đều là của Giàng Thị M. Nguồn gốc 02 chất ma túy này là M mua của 01 người đàn ông không quen biết tại khu vực Mốc 56 biên giới Việt Nam – Lào thuộc bản K, xã B, huyện N, tỉnh Điện Biên vào khoảng 13 giờ ngày 17/6/2022 với giá 1.000.000 đồng. Sau khi mua được 02 chất ma túy nêu</w:t>
      </w:r>
      <w:r>
        <w:rPr>
          <w:spacing w:val="40"/>
        </w:rPr>
        <w:t> </w:t>
      </w:r>
      <w:r>
        <w:rPr/>
        <w:t>trên, M đang trên đường đi bộ về nhà thì bị tổ công tác phát hiện, bắt quả tang.</w:t>
      </w:r>
    </w:p>
    <w:p>
      <w:pPr>
        <w:pStyle w:val="BodyText"/>
        <w:ind w:right="103"/>
      </w:pPr>
      <w:r>
        <w:rPr/>
        <w:t>Tại Biên bản mở niêm phong, xác định khối lượng, lấy mẫu giám định và niêm</w:t>
      </w:r>
      <w:r>
        <w:rPr>
          <w:spacing w:val="-2"/>
        </w:rPr>
        <w:t> </w:t>
      </w:r>
      <w:r>
        <w:rPr/>
        <w:t>phong lại đồ vật, tài liệu ngày </w:t>
      </w:r>
      <w:r>
        <w:rPr>
          <w:color w:val="FF0000"/>
        </w:rPr>
        <w:t>18/6/2022 </w:t>
      </w:r>
      <w:r>
        <w:rPr/>
        <w:t>của Cơ quan Cảnh sát điều tra Công an huyện N xác định: 88 (tám mươi tám) viên nén màu hồng nghi là ma túy tổng hợp có tổng khối lượng 9,13 (chín phẩy mười ba) gam, trích 1,03 (một phẩy</w:t>
      </w:r>
      <w:r>
        <w:rPr>
          <w:spacing w:val="-1"/>
        </w:rPr>
        <w:t> </w:t>
      </w:r>
      <w:r>
        <w:rPr/>
        <w:t>không ba) gam làm mẫu gửi giám định, còn lại 8,1 (tám phẩy một gam); Chất bột dạng nén màu trắng đục nghi là Heroine có khối lượng 4,90 (bốn phẩy chín mươi) gam, trích 2,21 (hai phẩy hai mươi mốt) gam làm mẫu vật gửi giám định, còn lại 2,69 (hai phẩy sáu mươi chín) gam.</w:t>
      </w:r>
    </w:p>
    <w:p>
      <w:pPr>
        <w:pStyle w:val="BodyText"/>
        <w:spacing w:line="237" w:lineRule="auto" w:before="103"/>
        <w:ind w:right="103"/>
      </w:pPr>
      <w:r>
        <w:rPr/>
        <w:t>Tại Kết luận giám định số: 883/KL-KTHS, ngày 26/6/2022 của Phòng kỹ thuật hình sự Công an tỉnh Điện Biên kết luận:</w:t>
      </w:r>
    </w:p>
    <w:p>
      <w:pPr>
        <w:pStyle w:val="BodyText"/>
        <w:spacing w:line="237" w:lineRule="auto" w:before="107"/>
        <w:ind w:right="105"/>
      </w:pPr>
      <w:r>
        <w:rPr/>
        <w:t>“- Mẫu chất bột màu trắng đục trích ra từ vật chứng thu giữ của Giàng Thị</w:t>
      </w:r>
      <w:r>
        <w:rPr>
          <w:spacing w:val="80"/>
        </w:rPr>
        <w:t> </w:t>
      </w:r>
      <w:r>
        <w:rPr/>
        <w:t>M gửi giám định là chất ma túy: Loại Heroine.</w:t>
      </w:r>
    </w:p>
    <w:p>
      <w:pPr>
        <w:pStyle w:val="ListParagraph"/>
        <w:numPr>
          <w:ilvl w:val="1"/>
          <w:numId w:val="1"/>
        </w:numPr>
        <w:tabs>
          <w:tab w:pos="986" w:val="left" w:leader="none"/>
        </w:tabs>
        <w:spacing w:line="240" w:lineRule="auto" w:before="101" w:after="0"/>
        <w:ind w:left="102" w:right="108" w:firstLine="719"/>
        <w:jc w:val="both"/>
        <w:rPr>
          <w:sz w:val="28"/>
        </w:rPr>
      </w:pPr>
      <w:r>
        <w:rPr>
          <w:sz w:val="28"/>
        </w:rPr>
        <w:t>Mẫu</w:t>
      </w:r>
      <w:r>
        <w:rPr>
          <w:spacing w:val="-1"/>
          <w:sz w:val="28"/>
        </w:rPr>
        <w:t> </w:t>
      </w:r>
      <w:r>
        <w:rPr>
          <w:sz w:val="28"/>
        </w:rPr>
        <w:t>các</w:t>
      </w:r>
      <w:r>
        <w:rPr>
          <w:spacing w:val="-5"/>
          <w:sz w:val="28"/>
        </w:rPr>
        <w:t> </w:t>
      </w:r>
      <w:r>
        <w:rPr>
          <w:sz w:val="28"/>
        </w:rPr>
        <w:t>viên</w:t>
      </w:r>
      <w:r>
        <w:rPr>
          <w:spacing w:val="-4"/>
          <w:sz w:val="28"/>
        </w:rPr>
        <w:t> </w:t>
      </w:r>
      <w:r>
        <w:rPr>
          <w:sz w:val="28"/>
        </w:rPr>
        <w:t>nén</w:t>
      </w:r>
      <w:r>
        <w:rPr>
          <w:spacing w:val="-1"/>
          <w:sz w:val="28"/>
        </w:rPr>
        <w:t> </w:t>
      </w:r>
      <w:r>
        <w:rPr>
          <w:sz w:val="28"/>
        </w:rPr>
        <w:t>màu</w:t>
      </w:r>
      <w:r>
        <w:rPr>
          <w:spacing w:val="-1"/>
          <w:sz w:val="28"/>
        </w:rPr>
        <w:t> </w:t>
      </w:r>
      <w:r>
        <w:rPr>
          <w:sz w:val="28"/>
        </w:rPr>
        <w:t>hồng</w:t>
      </w:r>
      <w:r>
        <w:rPr>
          <w:spacing w:val="-5"/>
          <w:sz w:val="28"/>
        </w:rPr>
        <w:t> </w:t>
      </w:r>
      <w:r>
        <w:rPr>
          <w:sz w:val="28"/>
        </w:rPr>
        <w:t>thu</w:t>
      </w:r>
      <w:r>
        <w:rPr>
          <w:spacing w:val="-1"/>
          <w:sz w:val="28"/>
        </w:rPr>
        <w:t> </w:t>
      </w:r>
      <w:r>
        <w:rPr>
          <w:sz w:val="28"/>
        </w:rPr>
        <w:t>giữ của</w:t>
      </w:r>
      <w:r>
        <w:rPr>
          <w:spacing w:val="-5"/>
          <w:sz w:val="28"/>
        </w:rPr>
        <w:t> </w:t>
      </w:r>
      <w:r>
        <w:rPr>
          <w:sz w:val="28"/>
        </w:rPr>
        <w:t>Giàng</w:t>
      </w:r>
      <w:r>
        <w:rPr>
          <w:spacing w:val="-1"/>
          <w:sz w:val="28"/>
        </w:rPr>
        <w:t> </w:t>
      </w:r>
      <w:r>
        <w:rPr>
          <w:sz w:val="28"/>
        </w:rPr>
        <w:t>Thị</w:t>
      </w:r>
      <w:r>
        <w:rPr>
          <w:spacing w:val="-1"/>
          <w:sz w:val="28"/>
        </w:rPr>
        <w:t> </w:t>
      </w:r>
      <w:r>
        <w:rPr>
          <w:sz w:val="28"/>
        </w:rPr>
        <w:t>M</w:t>
      </w:r>
      <w:r>
        <w:rPr>
          <w:spacing w:val="-2"/>
          <w:sz w:val="28"/>
        </w:rPr>
        <w:t> </w:t>
      </w:r>
      <w:r>
        <w:rPr>
          <w:sz w:val="28"/>
        </w:rPr>
        <w:t>gửi</w:t>
      </w:r>
      <w:r>
        <w:rPr>
          <w:spacing w:val="-4"/>
          <w:sz w:val="28"/>
        </w:rPr>
        <w:t> </w:t>
      </w:r>
      <w:r>
        <w:rPr>
          <w:sz w:val="28"/>
        </w:rPr>
        <w:t>giám</w:t>
      </w:r>
      <w:r>
        <w:rPr>
          <w:spacing w:val="-5"/>
          <w:sz w:val="28"/>
        </w:rPr>
        <w:t> </w:t>
      </w:r>
      <w:r>
        <w:rPr>
          <w:sz w:val="28"/>
        </w:rPr>
        <w:t>định</w:t>
      </w:r>
      <w:r>
        <w:rPr>
          <w:spacing w:val="-1"/>
          <w:sz w:val="28"/>
        </w:rPr>
        <w:t> </w:t>
      </w:r>
      <w:r>
        <w:rPr>
          <w:sz w:val="28"/>
        </w:rPr>
        <w:t>là</w:t>
      </w:r>
      <w:r>
        <w:rPr>
          <w:spacing w:val="-2"/>
          <w:sz w:val="28"/>
        </w:rPr>
        <w:t> </w:t>
      </w:r>
      <w:r>
        <w:rPr>
          <w:sz w:val="28"/>
        </w:rPr>
        <w:t>chất ma túy: Loại Methamphetamine.”</w:t>
      </w:r>
    </w:p>
    <w:p>
      <w:pPr>
        <w:pStyle w:val="BodyText"/>
        <w:ind w:right="102"/>
      </w:pPr>
      <w:r>
        <w:rPr/>
        <w:t>Tại bản Cáo trạng số: 63/CT-VKSNP ngày 25/10/2022 của Viện kiểm sát nhân dân huyện N, tỉnh Điện Biên đã truy tố bị cáo Giàng Thị M về tội Tàng trữ trái phép chất ma túy theo quy định tại điểm n khoản 2 Điều 249 của Bộ luật hình </w:t>
      </w:r>
      <w:r>
        <w:rPr>
          <w:spacing w:val="-4"/>
        </w:rPr>
        <w:t>sự.</w:t>
      </w:r>
    </w:p>
    <w:p>
      <w:pPr>
        <w:pStyle w:val="BodyText"/>
        <w:ind w:right="103"/>
      </w:pPr>
      <w:r>
        <w:rPr/>
        <w:t>Tại phiên tòa, bị cáo Giàng Thị M đã thành khẩn khai nhận về</w:t>
      </w:r>
      <w:r>
        <w:rPr>
          <w:spacing w:val="-1"/>
        </w:rPr>
        <w:t> </w:t>
      </w:r>
      <w:r>
        <w:rPr/>
        <w:t>hành vi phạm tội của mình phù hợp với bản Cáo trạng của Viện kiểm sát nhân dân huyện N đã truy tố bị cáo.</w:t>
      </w:r>
    </w:p>
    <w:p>
      <w:pPr>
        <w:pStyle w:val="BodyText"/>
        <w:spacing w:before="100"/>
        <w:ind w:right="103"/>
      </w:pPr>
      <w:r>
        <w:rPr/>
        <w:t>Tại phiên toà, đại diện Viện kiểm sát nhân dân huyện</w:t>
      </w:r>
      <w:r>
        <w:rPr>
          <w:spacing w:val="28"/>
        </w:rPr>
        <w:t> </w:t>
      </w:r>
      <w:r>
        <w:rPr/>
        <w:t>N giữ quyền công tố và kiểm sát xét xử luận tội: Giữ nguyên quyết định truy tố bị cáo Giàng Thị M về tội</w:t>
      </w:r>
      <w:r>
        <w:rPr>
          <w:spacing w:val="35"/>
        </w:rPr>
        <w:t> </w:t>
      </w:r>
      <w:r>
        <w:rPr/>
        <w:t>Tàng</w:t>
      </w:r>
      <w:r>
        <w:rPr>
          <w:spacing w:val="36"/>
        </w:rPr>
        <w:t> </w:t>
      </w:r>
      <w:r>
        <w:rPr/>
        <w:t>trữ</w:t>
      </w:r>
      <w:r>
        <w:rPr>
          <w:spacing w:val="33"/>
        </w:rPr>
        <w:t> </w:t>
      </w:r>
      <w:r>
        <w:rPr/>
        <w:t>trái</w:t>
      </w:r>
      <w:r>
        <w:rPr>
          <w:spacing w:val="32"/>
        </w:rPr>
        <w:t> </w:t>
      </w:r>
      <w:r>
        <w:rPr/>
        <w:t>phép</w:t>
      </w:r>
      <w:r>
        <w:rPr>
          <w:spacing w:val="38"/>
        </w:rPr>
        <w:t> </w:t>
      </w:r>
      <w:r>
        <w:rPr/>
        <w:t>chất</w:t>
      </w:r>
      <w:r>
        <w:rPr>
          <w:spacing w:val="35"/>
        </w:rPr>
        <w:t> </w:t>
      </w:r>
      <w:r>
        <w:rPr/>
        <w:t>ma</w:t>
      </w:r>
      <w:r>
        <w:rPr>
          <w:spacing w:val="34"/>
        </w:rPr>
        <w:t> </w:t>
      </w:r>
      <w:r>
        <w:rPr/>
        <w:t>túy</w:t>
      </w:r>
      <w:r>
        <w:rPr>
          <w:spacing w:val="32"/>
        </w:rPr>
        <w:t> </w:t>
      </w:r>
      <w:r>
        <w:rPr/>
        <w:t>và</w:t>
      </w:r>
      <w:r>
        <w:rPr>
          <w:spacing w:val="34"/>
        </w:rPr>
        <w:t> </w:t>
      </w:r>
      <w:r>
        <w:rPr/>
        <w:t>đề</w:t>
      </w:r>
      <w:r>
        <w:rPr>
          <w:spacing w:val="34"/>
        </w:rPr>
        <w:t> </w:t>
      </w:r>
      <w:r>
        <w:rPr/>
        <w:t>nghị</w:t>
      </w:r>
      <w:r>
        <w:rPr>
          <w:spacing w:val="35"/>
        </w:rPr>
        <w:t> </w:t>
      </w:r>
      <w:r>
        <w:rPr/>
        <w:t>Hội</w:t>
      </w:r>
      <w:r>
        <w:rPr>
          <w:spacing w:val="35"/>
        </w:rPr>
        <w:t> </w:t>
      </w:r>
      <w:r>
        <w:rPr/>
        <w:t>đồng</w:t>
      </w:r>
      <w:r>
        <w:rPr>
          <w:spacing w:val="32"/>
        </w:rPr>
        <w:t> </w:t>
      </w:r>
      <w:r>
        <w:rPr/>
        <w:t>xét</w:t>
      </w:r>
      <w:r>
        <w:rPr>
          <w:spacing w:val="32"/>
        </w:rPr>
        <w:t> </w:t>
      </w:r>
      <w:r>
        <w:rPr/>
        <w:t>xử</w:t>
      </w:r>
      <w:r>
        <w:rPr>
          <w:spacing w:val="33"/>
        </w:rPr>
        <w:t> </w:t>
      </w:r>
      <w:r>
        <w:rPr/>
        <w:t>áp</w:t>
      </w:r>
      <w:r>
        <w:rPr>
          <w:spacing w:val="40"/>
        </w:rPr>
        <w:t> </w:t>
      </w:r>
      <w:r>
        <w:rPr/>
        <w:t>dụng</w:t>
      </w:r>
      <w:r>
        <w:rPr>
          <w:spacing w:val="33"/>
        </w:rPr>
        <w:t> </w:t>
      </w:r>
      <w:r>
        <w:rPr/>
        <w:t>điểm</w:t>
      </w:r>
      <w:r>
        <w:rPr>
          <w:spacing w:val="32"/>
        </w:rPr>
        <w:t> </w:t>
      </w:r>
      <w:r>
        <w:rPr/>
        <w:t>n</w:t>
      </w:r>
    </w:p>
    <w:p>
      <w:pPr>
        <w:spacing w:after="0"/>
        <w:sectPr>
          <w:footerReference w:type="default" r:id="rId5"/>
          <w:pgSz w:w="11910" w:h="16850"/>
          <w:pgMar w:footer="791" w:header="0" w:top="1060" w:bottom="980" w:left="1600" w:right="740"/>
          <w:pgNumType w:start="2"/>
        </w:sectPr>
      </w:pPr>
    </w:p>
    <w:p>
      <w:pPr>
        <w:pStyle w:val="BodyText"/>
        <w:spacing w:before="65"/>
        <w:ind w:right="103" w:firstLine="0"/>
      </w:pPr>
      <w:r>
        <w:rPr/>
        <w:t>khoản 2 Điều 249, điểm s khoản 1 Điều 51, Điều 38 của Bộ luật Hình sự; đề nghị xử</w:t>
      </w:r>
      <w:r>
        <w:rPr>
          <w:spacing w:val="-1"/>
        </w:rPr>
        <w:t> </w:t>
      </w:r>
      <w:r>
        <w:rPr/>
        <w:t>phạt bị cáo Giàng Thị M từ 06 năm</w:t>
      </w:r>
      <w:r>
        <w:rPr>
          <w:spacing w:val="-4"/>
        </w:rPr>
        <w:t> </w:t>
      </w:r>
      <w:r>
        <w:rPr/>
        <w:t>06 tháng tù đến 07 năm</w:t>
      </w:r>
      <w:r>
        <w:rPr>
          <w:spacing w:val="-4"/>
        </w:rPr>
        <w:t> </w:t>
      </w:r>
      <w:r>
        <w:rPr/>
        <w:t>tù. Đề nghị áp dụng điểm c khoản 1 Điều 47 của Bộ luật hình sự và khoản 1, điểm a khoản 2 Điều 106 của Bộ luật tố tụng hình sự: Tịch thu tiêu hủy vật chứng của vụ án là Heroine và Methamphetamine sau</w:t>
      </w:r>
      <w:r>
        <w:rPr>
          <w:spacing w:val="-1"/>
        </w:rPr>
        <w:t> </w:t>
      </w:r>
      <w:r>
        <w:rPr/>
        <w:t>khi</w:t>
      </w:r>
      <w:r>
        <w:rPr>
          <w:spacing w:val="-2"/>
        </w:rPr>
        <w:t> </w:t>
      </w:r>
      <w:r>
        <w:rPr/>
        <w:t>đã</w:t>
      </w:r>
      <w:r>
        <w:rPr>
          <w:spacing w:val="-2"/>
        </w:rPr>
        <w:t> </w:t>
      </w:r>
      <w:r>
        <w:rPr/>
        <w:t>trừ</w:t>
      </w:r>
      <w:r>
        <w:rPr>
          <w:spacing w:val="-1"/>
        </w:rPr>
        <w:t> </w:t>
      </w:r>
      <w:r>
        <w:rPr/>
        <w:t>mẫu giám</w:t>
      </w:r>
      <w:r>
        <w:rPr>
          <w:spacing w:val="-3"/>
        </w:rPr>
        <w:t> </w:t>
      </w:r>
      <w:r>
        <w:rPr/>
        <w:t>định.</w:t>
      </w:r>
      <w:r>
        <w:rPr>
          <w:spacing w:val="-1"/>
        </w:rPr>
        <w:t> </w:t>
      </w:r>
      <w:r>
        <w:rPr/>
        <w:t>Đề</w:t>
      </w:r>
      <w:r>
        <w:rPr>
          <w:spacing w:val="-2"/>
        </w:rPr>
        <w:t> </w:t>
      </w:r>
      <w:r>
        <w:rPr/>
        <w:t>nghị</w:t>
      </w:r>
      <w:r>
        <w:rPr>
          <w:spacing w:val="-1"/>
        </w:rPr>
        <w:t> </w:t>
      </w:r>
      <w:r>
        <w:rPr/>
        <w:t>không áp</w:t>
      </w:r>
      <w:r>
        <w:rPr>
          <w:spacing w:val="-1"/>
        </w:rPr>
        <w:t> </w:t>
      </w:r>
      <w:r>
        <w:rPr/>
        <w:t>dụng</w:t>
      </w:r>
      <w:r>
        <w:rPr>
          <w:spacing w:val="-1"/>
        </w:rPr>
        <w:t> </w:t>
      </w:r>
      <w:r>
        <w:rPr/>
        <w:t>hình phạt bổ sung là phạt tiền và miễn án phí hình sự sơ thẩm theo quy định của pháp luật</w:t>
      </w:r>
      <w:r>
        <w:rPr>
          <w:spacing w:val="40"/>
        </w:rPr>
        <w:t> </w:t>
      </w:r>
      <w:r>
        <w:rPr/>
        <w:t>đối với bị cáo.</w:t>
      </w:r>
    </w:p>
    <w:p>
      <w:pPr>
        <w:pStyle w:val="BodyText"/>
        <w:ind w:right="106"/>
      </w:pPr>
      <w:r>
        <w:rPr/>
        <w:t>Người bào chữa cho bị cáo Giàng Thị M nhất trí với luận tội của vị đại diện Viện kiểm sát về tội danh, điều luật và mức hình phạt áp dụng đối với bị cáo. Người bào chữa đề nghị Hội đồng xét xử xem xét áp dụng tình tiết giảm nhẹ theo điểm s khoản 1 Điều 51 và Điều 50 của Bộ luật hình sự, đề nghị xử phạt bị cáo mức thấp nhất theo đề nghị của vị đại diện Viện kiểm sát; Đề nghị không áp dụng hình phạt bổ sung là phạt tiền và miễn án phí hình sự sơ thẩm cho bị cáo.</w:t>
      </w:r>
    </w:p>
    <w:p>
      <w:pPr>
        <w:pStyle w:val="BodyText"/>
        <w:ind w:right="104"/>
      </w:pPr>
      <w:r>
        <w:rPr/>
        <w:t>Bị cáo Giàng Thị M nhất trí với luận tội của đại diện Viện kiểm sát, không có ý kiến tranh luận gì thêm. Bị cáo đề nghị Hội đồng xét xử giảm nhẹ hình phạt cho bị cáo.</w:t>
      </w:r>
    </w:p>
    <w:p>
      <w:pPr>
        <w:spacing w:before="102"/>
        <w:ind w:left="1124" w:right="1130"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37" w:lineRule="auto"/>
        <w:ind w:right="109"/>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2"/>
        </w:numPr>
        <w:tabs>
          <w:tab w:pos="1228" w:val="left" w:leader="none"/>
        </w:tabs>
        <w:spacing w:line="237" w:lineRule="auto" w:before="106" w:after="0"/>
        <w:ind w:left="102" w:right="107" w:firstLine="719"/>
        <w:jc w:val="both"/>
        <w:rPr>
          <w:sz w:val="28"/>
        </w:rPr>
      </w:pPr>
      <w:r>
        <w:rPr>
          <w:sz w:val="28"/>
        </w:rPr>
        <w:t>Về tội danh và điều luật Viện kiểm sát nhân dân huyện N truy tố đối với bị cáo:</w:t>
      </w:r>
    </w:p>
    <w:p>
      <w:pPr>
        <w:pStyle w:val="BodyText"/>
        <w:spacing w:before="105"/>
        <w:ind w:right="103"/>
      </w:pPr>
      <w:r>
        <w:rPr/>
        <w:t>Tại phiên tòa, bị cáo Giàng Thị M thành khẩn khai nhận hành vi phạm tội của mình như sau: Vào hồi 22 giờ 10 phút, ngày 17/6/2022, Giàng Thị M đã có hành vi tàng trữ trái phép 9,13 (chín phẩy mười ba) gam Methamphetamine được gói bằng nilon màu hồng và 4,90 (bốn phẩy chín mươi) gam Heroine được gói</w:t>
      </w:r>
      <w:r>
        <w:rPr>
          <w:spacing w:val="40"/>
        </w:rPr>
        <w:t> </w:t>
      </w:r>
      <w:r>
        <w:rPr/>
        <w:t>bằng nilon màu trắng. Cả 02 chất ma túy được M cầm trên tay phải khi đang đi bộ tới khu vực Mốc 56 Biên giới Việt Nam - Lào, thuộc bản K, xã B, huyện N, tỉnh Điện Biên. Nguồn gốc 02 chất ma túy này là do bị cáo mua của 01 người đàn ông không quen biết, tại khu vực</w:t>
      </w:r>
      <w:r>
        <w:rPr>
          <w:spacing w:val="22"/>
        </w:rPr>
        <w:t> </w:t>
      </w:r>
      <w:r>
        <w:rPr/>
        <w:t>Mốc 56 Biên giới Việt Nam – Lào, thuộc bản K, xã</w:t>
      </w:r>
      <w:r>
        <w:rPr>
          <w:spacing w:val="40"/>
        </w:rPr>
        <w:t> </w:t>
      </w:r>
      <w:r>
        <w:rPr/>
        <w:t>B, vào chiều ngày 17/6/2022 với giá 1.000.000 đồng. Mục đích bị cáo tàng trữ trái phép 02 chất ma túy là để sử dụng chữa bệnh cho gia súc và gia cầm của gia đình</w:t>
      </w:r>
      <w:r>
        <w:rPr>
          <w:spacing w:val="40"/>
        </w:rPr>
        <w:t> </w:t>
      </w:r>
      <w:r>
        <w:rPr/>
        <w:t>bị cáo. Lời khai của bị cáo tại phiên tòa phù hợp lời khai của bị cáo tại Cơ quan điều tra, phù hợp với Biên bản bắt người phạm</w:t>
      </w:r>
      <w:r>
        <w:rPr>
          <w:spacing w:val="-5"/>
        </w:rPr>
        <w:t> </w:t>
      </w:r>
      <w:r>
        <w:rPr/>
        <w:t>tội quả tang, phù</w:t>
      </w:r>
      <w:r>
        <w:rPr>
          <w:spacing w:val="-1"/>
        </w:rPr>
        <w:t> </w:t>
      </w:r>
      <w:r>
        <w:rPr/>
        <w:t>hợp với vật chứng thu giữ, kết luận giám định và các tài liệu, chứng cứ khác có trong hồ sơ.</w:t>
      </w:r>
    </w:p>
    <w:p>
      <w:pPr>
        <w:pStyle w:val="BodyText"/>
        <w:spacing w:before="99"/>
        <w:ind w:right="99"/>
      </w:pPr>
      <w:r>
        <w:rPr/>
        <w:t>Bị cáo Giàng Thị M tàng trữ 02 chất ma túy là Methamphetamine có khối lượng</w:t>
      </w:r>
      <w:r>
        <w:rPr>
          <w:spacing w:val="-12"/>
        </w:rPr>
        <w:t> </w:t>
      </w:r>
      <w:r>
        <w:rPr/>
        <w:t>9,13</w:t>
      </w:r>
      <w:r>
        <w:rPr>
          <w:spacing w:val="-12"/>
        </w:rPr>
        <w:t> </w:t>
      </w:r>
      <w:r>
        <w:rPr/>
        <w:t>gam</w:t>
      </w:r>
      <w:r>
        <w:rPr>
          <w:spacing w:val="-17"/>
        </w:rPr>
        <w:t> </w:t>
      </w:r>
      <w:r>
        <w:rPr/>
        <w:t>và</w:t>
      </w:r>
      <w:r>
        <w:rPr>
          <w:spacing w:val="-11"/>
        </w:rPr>
        <w:t> </w:t>
      </w:r>
      <w:r>
        <w:rPr/>
        <w:t>Heroine</w:t>
      </w:r>
      <w:r>
        <w:rPr>
          <w:spacing w:val="-13"/>
        </w:rPr>
        <w:t> </w:t>
      </w:r>
      <w:r>
        <w:rPr/>
        <w:t>có</w:t>
      </w:r>
      <w:r>
        <w:rPr>
          <w:spacing w:val="-12"/>
        </w:rPr>
        <w:t> </w:t>
      </w:r>
      <w:r>
        <w:rPr/>
        <w:t>khối</w:t>
      </w:r>
      <w:r>
        <w:rPr>
          <w:spacing w:val="-12"/>
        </w:rPr>
        <w:t> </w:t>
      </w:r>
      <w:r>
        <w:rPr/>
        <w:t>lượng</w:t>
      </w:r>
      <w:r>
        <w:rPr>
          <w:spacing w:val="-12"/>
        </w:rPr>
        <w:t> </w:t>
      </w:r>
      <w:r>
        <w:rPr/>
        <w:t>4,90</w:t>
      </w:r>
      <w:r>
        <w:rPr>
          <w:spacing w:val="-12"/>
        </w:rPr>
        <w:t> </w:t>
      </w:r>
      <w:r>
        <w:rPr/>
        <w:t>gam,</w:t>
      </w:r>
      <w:r>
        <w:rPr>
          <w:spacing w:val="-8"/>
        </w:rPr>
        <w:t> </w:t>
      </w:r>
      <w:r>
        <w:rPr/>
        <w:t>được</w:t>
      </w:r>
      <w:r>
        <w:rPr>
          <w:spacing w:val="-11"/>
        </w:rPr>
        <w:t> </w:t>
      </w:r>
      <w:r>
        <w:rPr/>
        <w:t>quy</w:t>
      </w:r>
      <w:r>
        <w:rPr>
          <w:spacing w:val="-16"/>
        </w:rPr>
        <w:t> </w:t>
      </w:r>
      <w:r>
        <w:rPr/>
        <w:t>định</w:t>
      </w:r>
      <w:r>
        <w:rPr>
          <w:spacing w:val="-11"/>
        </w:rPr>
        <w:t> </w:t>
      </w:r>
      <w:r>
        <w:rPr/>
        <w:t>tại</w:t>
      </w:r>
      <w:r>
        <w:rPr>
          <w:spacing w:val="-12"/>
        </w:rPr>
        <w:t> </w:t>
      </w:r>
      <w:r>
        <w:rPr/>
        <w:t>điểm</w:t>
      </w:r>
      <w:r>
        <w:rPr>
          <w:spacing w:val="-16"/>
        </w:rPr>
        <w:t> </w:t>
      </w:r>
      <w:r>
        <w:rPr/>
        <w:t>g</w:t>
      </w:r>
      <w:r>
        <w:rPr>
          <w:spacing w:val="-12"/>
        </w:rPr>
        <w:t> </w:t>
      </w:r>
      <w:r>
        <w:rPr/>
        <w:t>khoản 2 Điều 249 của Bộ luật Hình sự. Căn cứ Điều 4 Nghị định 19/2018/NĐ-CP, ngày </w:t>
      </w:r>
      <w:r>
        <w:rPr>
          <w:spacing w:val="-2"/>
        </w:rPr>
        <w:t>02/02/2018</w:t>
      </w:r>
      <w:r>
        <w:rPr>
          <w:spacing w:val="-16"/>
        </w:rPr>
        <w:t> </w:t>
      </w:r>
      <w:r>
        <w:rPr>
          <w:spacing w:val="-2"/>
        </w:rPr>
        <w:t>Quy</w:t>
      </w:r>
      <w:r>
        <w:rPr>
          <w:spacing w:val="-15"/>
        </w:rPr>
        <w:t> </w:t>
      </w:r>
      <w:r>
        <w:rPr>
          <w:spacing w:val="-2"/>
        </w:rPr>
        <w:t>định</w:t>
      </w:r>
      <w:r>
        <w:rPr>
          <w:spacing w:val="-14"/>
        </w:rPr>
        <w:t> </w:t>
      </w:r>
      <w:r>
        <w:rPr>
          <w:spacing w:val="-2"/>
        </w:rPr>
        <w:t>về</w:t>
      </w:r>
      <w:r>
        <w:rPr>
          <w:spacing w:val="-13"/>
        </w:rPr>
        <w:t> </w:t>
      </w:r>
      <w:r>
        <w:rPr>
          <w:spacing w:val="-2"/>
        </w:rPr>
        <w:t>việc</w:t>
      </w:r>
      <w:r>
        <w:rPr>
          <w:spacing w:val="-12"/>
        </w:rPr>
        <w:t> </w:t>
      </w:r>
      <w:r>
        <w:rPr>
          <w:spacing w:val="-2"/>
        </w:rPr>
        <w:t>tính</w:t>
      </w:r>
      <w:r>
        <w:rPr>
          <w:spacing w:val="-14"/>
        </w:rPr>
        <w:t> </w:t>
      </w:r>
      <w:r>
        <w:rPr>
          <w:spacing w:val="-2"/>
        </w:rPr>
        <w:t>tổng</w:t>
      </w:r>
      <w:r>
        <w:rPr>
          <w:spacing w:val="-12"/>
        </w:rPr>
        <w:t> </w:t>
      </w:r>
      <w:r>
        <w:rPr>
          <w:spacing w:val="-2"/>
        </w:rPr>
        <w:t>khối</w:t>
      </w:r>
      <w:r>
        <w:rPr>
          <w:spacing w:val="-16"/>
        </w:rPr>
        <w:t> </w:t>
      </w:r>
      <w:r>
        <w:rPr>
          <w:spacing w:val="-2"/>
        </w:rPr>
        <w:t>lượng</w:t>
      </w:r>
      <w:r>
        <w:rPr>
          <w:spacing w:val="-12"/>
        </w:rPr>
        <w:t> </w:t>
      </w:r>
      <w:r>
        <w:rPr>
          <w:spacing w:val="-2"/>
        </w:rPr>
        <w:t>hoặc</w:t>
      </w:r>
      <w:r>
        <w:rPr>
          <w:spacing w:val="-15"/>
        </w:rPr>
        <w:t> </w:t>
      </w:r>
      <w:r>
        <w:rPr>
          <w:spacing w:val="-2"/>
        </w:rPr>
        <w:t>thể</w:t>
      </w:r>
      <w:r>
        <w:rPr>
          <w:spacing w:val="-13"/>
        </w:rPr>
        <w:t> </w:t>
      </w:r>
      <w:r>
        <w:rPr>
          <w:spacing w:val="-2"/>
        </w:rPr>
        <w:t>tích</w:t>
      </w:r>
      <w:r>
        <w:rPr>
          <w:spacing w:val="-12"/>
        </w:rPr>
        <w:t> </w:t>
      </w:r>
      <w:r>
        <w:rPr>
          <w:spacing w:val="-2"/>
        </w:rPr>
        <w:t>chất</w:t>
      </w:r>
      <w:r>
        <w:rPr>
          <w:spacing w:val="-10"/>
        </w:rPr>
        <w:t> </w:t>
      </w:r>
      <w:r>
        <w:rPr>
          <w:spacing w:val="-2"/>
        </w:rPr>
        <w:t>ma</w:t>
      </w:r>
      <w:r>
        <w:rPr>
          <w:spacing w:val="-13"/>
        </w:rPr>
        <w:t> </w:t>
      </w:r>
      <w:r>
        <w:rPr>
          <w:spacing w:val="-2"/>
        </w:rPr>
        <w:t>túy</w:t>
      </w:r>
      <w:r>
        <w:rPr>
          <w:spacing w:val="-16"/>
        </w:rPr>
        <w:t> </w:t>
      </w:r>
      <w:r>
        <w:rPr>
          <w:spacing w:val="-2"/>
        </w:rPr>
        <w:t>tại</w:t>
      </w:r>
      <w:r>
        <w:rPr>
          <w:spacing w:val="-9"/>
        </w:rPr>
        <w:t> </w:t>
      </w:r>
      <w:r>
        <w:rPr>
          <w:spacing w:val="-2"/>
        </w:rPr>
        <w:t>một</w:t>
      </w:r>
      <w:r>
        <w:rPr>
          <w:spacing w:val="-12"/>
        </w:rPr>
        <w:t> </w:t>
      </w:r>
      <w:r>
        <w:rPr>
          <w:spacing w:val="-2"/>
        </w:rPr>
        <w:t>số </w:t>
      </w:r>
      <w:r>
        <w:rPr/>
        <w:t>điều của Bộ luật Hình sự năm 2015, thì tổng khối lượng 02 chất ma túy mà bị cáo tàng trữ</w:t>
      </w:r>
      <w:r>
        <w:rPr>
          <w:spacing w:val="-1"/>
        </w:rPr>
        <w:t> </w:t>
      </w:r>
      <w:r>
        <w:rPr/>
        <w:t>là 14,03 (mười bốn phẩy</w:t>
      </w:r>
      <w:r>
        <w:rPr>
          <w:spacing w:val="-3"/>
        </w:rPr>
        <w:t> </w:t>
      </w:r>
      <w:r>
        <w:rPr/>
        <w:t>không ba gam), tương đương với khối lượng chất ma</w:t>
      </w:r>
      <w:r>
        <w:rPr>
          <w:spacing w:val="-6"/>
        </w:rPr>
        <w:t> </w:t>
      </w:r>
      <w:r>
        <w:rPr/>
        <w:t>túy</w:t>
      </w:r>
      <w:r>
        <w:rPr>
          <w:spacing w:val="-12"/>
        </w:rPr>
        <w:t> </w:t>
      </w:r>
      <w:r>
        <w:rPr/>
        <w:t>quy</w:t>
      </w:r>
      <w:r>
        <w:rPr>
          <w:spacing w:val="-10"/>
        </w:rPr>
        <w:t> </w:t>
      </w:r>
      <w:r>
        <w:rPr/>
        <w:t>định</w:t>
      </w:r>
      <w:r>
        <w:rPr>
          <w:spacing w:val="-7"/>
        </w:rPr>
        <w:t> </w:t>
      </w:r>
      <w:r>
        <w:rPr/>
        <w:t>tại</w:t>
      </w:r>
      <w:r>
        <w:rPr>
          <w:spacing w:val="-7"/>
        </w:rPr>
        <w:t> </w:t>
      </w:r>
      <w:r>
        <w:rPr/>
        <w:t>điểm</w:t>
      </w:r>
      <w:r>
        <w:rPr>
          <w:spacing w:val="-11"/>
        </w:rPr>
        <w:t> </w:t>
      </w:r>
      <w:r>
        <w:rPr/>
        <w:t>g</w:t>
      </w:r>
      <w:r>
        <w:rPr>
          <w:spacing w:val="-7"/>
        </w:rPr>
        <w:t> </w:t>
      </w:r>
      <w:r>
        <w:rPr/>
        <w:t>khoản</w:t>
      </w:r>
      <w:r>
        <w:rPr>
          <w:spacing w:val="-7"/>
        </w:rPr>
        <w:t> </w:t>
      </w:r>
      <w:r>
        <w:rPr/>
        <w:t>2</w:t>
      </w:r>
      <w:r>
        <w:rPr>
          <w:spacing w:val="-7"/>
        </w:rPr>
        <w:t> </w:t>
      </w:r>
      <w:r>
        <w:rPr/>
        <w:t>Điều</w:t>
      </w:r>
      <w:r>
        <w:rPr>
          <w:spacing w:val="-7"/>
        </w:rPr>
        <w:t> </w:t>
      </w:r>
      <w:r>
        <w:rPr/>
        <w:t>249</w:t>
      </w:r>
      <w:r>
        <w:rPr>
          <w:spacing w:val="-7"/>
        </w:rPr>
        <w:t> </w:t>
      </w:r>
      <w:r>
        <w:rPr/>
        <w:t>của</w:t>
      </w:r>
      <w:r>
        <w:rPr>
          <w:spacing w:val="-8"/>
        </w:rPr>
        <w:t> </w:t>
      </w:r>
      <w:r>
        <w:rPr/>
        <w:t>Bộ</w:t>
      </w:r>
      <w:r>
        <w:rPr>
          <w:spacing w:val="-7"/>
        </w:rPr>
        <w:t> </w:t>
      </w:r>
      <w:r>
        <w:rPr/>
        <w:t>luật</w:t>
      </w:r>
      <w:r>
        <w:rPr>
          <w:spacing w:val="-7"/>
        </w:rPr>
        <w:t> </w:t>
      </w:r>
      <w:r>
        <w:rPr/>
        <w:t>Hình</w:t>
      </w:r>
      <w:r>
        <w:rPr>
          <w:spacing w:val="-7"/>
        </w:rPr>
        <w:t> </w:t>
      </w:r>
      <w:r>
        <w:rPr/>
        <w:t>sự.</w:t>
      </w:r>
    </w:p>
    <w:p>
      <w:pPr>
        <w:spacing w:after="0"/>
        <w:sectPr>
          <w:pgSz w:w="11910" w:h="16850"/>
          <w:pgMar w:header="0" w:footer="791" w:top="1060" w:bottom="980" w:left="1600" w:right="740"/>
        </w:sectPr>
      </w:pPr>
    </w:p>
    <w:p>
      <w:pPr>
        <w:pStyle w:val="BodyText"/>
        <w:spacing w:before="65"/>
        <w:ind w:right="104"/>
      </w:pPr>
      <w:r>
        <w:rPr/>
        <w:t>Do đó, đã có đủ cơ sở kết luận bị cáo Giàng Thị M phạm tội Tàng trữ trái phép chất ma tuý theo quy định tại điểm n khoản 2 Điều 249 của Bộ luật hình sự như Cáo trạng của Viện kiểm sát nhân dân huyện N đã truy tố đối với bị cáo là có căn cứ, đúng người, đúng tội, đúng pháp luật.</w:t>
      </w:r>
    </w:p>
    <w:p>
      <w:pPr>
        <w:spacing w:line="237" w:lineRule="auto" w:before="104"/>
        <w:ind w:left="102" w:right="104" w:firstLine="719"/>
        <w:jc w:val="both"/>
        <w:rPr>
          <w:i/>
          <w:sz w:val="28"/>
        </w:rPr>
      </w:pPr>
      <w:r>
        <w:rPr>
          <w:sz w:val="28"/>
        </w:rPr>
        <w:t>Tại điểm</w:t>
      </w:r>
      <w:r>
        <w:rPr>
          <w:spacing w:val="-5"/>
          <w:sz w:val="28"/>
        </w:rPr>
        <w:t> </w:t>
      </w:r>
      <w:r>
        <w:rPr>
          <w:sz w:val="28"/>
        </w:rPr>
        <w:t>n khoản 2 Điều 249 của Bộ luật</w:t>
      </w:r>
      <w:r>
        <w:rPr>
          <w:spacing w:val="-1"/>
          <w:sz w:val="28"/>
        </w:rPr>
        <w:t> </w:t>
      </w:r>
      <w:r>
        <w:rPr>
          <w:sz w:val="28"/>
        </w:rPr>
        <w:t>hình sự quy</w:t>
      </w:r>
      <w:r>
        <w:rPr>
          <w:spacing w:val="-4"/>
          <w:sz w:val="28"/>
        </w:rPr>
        <w:t> </w:t>
      </w:r>
      <w:r>
        <w:rPr>
          <w:sz w:val="28"/>
        </w:rPr>
        <w:t>định: </w:t>
      </w:r>
      <w:r>
        <w:rPr>
          <w:i/>
          <w:sz w:val="28"/>
        </w:rPr>
        <w:t>“Phạm</w:t>
      </w:r>
      <w:r>
        <w:rPr>
          <w:i/>
          <w:spacing w:val="-2"/>
          <w:sz w:val="28"/>
        </w:rPr>
        <w:t> </w:t>
      </w:r>
      <w:r>
        <w:rPr>
          <w:i/>
          <w:sz w:val="28"/>
        </w:rPr>
        <w:t>tội thuộc</w:t>
      </w:r>
      <w:r>
        <w:rPr>
          <w:i/>
          <w:sz w:val="28"/>
        </w:rPr>
        <w:t> một trong các trường hợp sau đây thì bị phạt tù từ 05 năm đến 10 năm:…</w:t>
      </w:r>
    </w:p>
    <w:p>
      <w:pPr>
        <w:spacing w:line="240" w:lineRule="auto" w:before="104"/>
        <w:ind w:left="102" w:right="106" w:firstLine="719"/>
        <w:jc w:val="both"/>
        <w:rPr>
          <w:i/>
          <w:sz w:val="28"/>
        </w:rPr>
      </w:pPr>
      <w:r>
        <w:rPr>
          <w:i/>
          <w:sz w:val="28"/>
        </w:rPr>
        <w:t>n) Có 02 chất ma túy trở lên mà tổng khối lượng hoặc thể tích của các chất</w:t>
      </w:r>
      <w:r>
        <w:rPr>
          <w:i/>
          <w:sz w:val="28"/>
        </w:rPr>
        <w:t> đó tương đương với khối lượng hoặc thể tích chất ma túy quy định tại một trong các điểm từ điểm e đến điểm m khoản này”.</w:t>
      </w:r>
    </w:p>
    <w:p>
      <w:pPr>
        <w:pStyle w:val="ListParagraph"/>
        <w:numPr>
          <w:ilvl w:val="0"/>
          <w:numId w:val="2"/>
        </w:numPr>
        <w:tabs>
          <w:tab w:pos="1240" w:val="left" w:leader="none"/>
        </w:tabs>
        <w:spacing w:line="240" w:lineRule="auto" w:before="100" w:after="0"/>
        <w:ind w:left="102" w:right="102" w:firstLine="719"/>
        <w:jc w:val="both"/>
        <w:rPr>
          <w:sz w:val="28"/>
        </w:rPr>
      </w:pPr>
      <w:r>
        <w:rPr>
          <w:sz w:val="28"/>
        </w:rPr>
        <w:t>Về tính chất, mức độ hành vi phạm tội: Hành vi phạm tội</w:t>
      </w:r>
      <w:r>
        <w:rPr>
          <w:spacing w:val="27"/>
          <w:sz w:val="28"/>
        </w:rPr>
        <w:t> </w:t>
      </w:r>
      <w:r>
        <w:rPr>
          <w:sz w:val="28"/>
        </w:rPr>
        <w:t>của bị cáo là rất nghiêm trọng, có tính chất và mức độ nguy hiểm cho xã hội rất lớn, xâm phạm đến sự độc quyền quản lý các chất ma túy của Nhà nước. Hành vi của bị cáo gây ảnh hưởng xấu đến tình hình an ninh trật tự xã hội trên địa bàn huyện N vì ma túy không chỉ gây</w:t>
      </w:r>
      <w:r>
        <w:rPr>
          <w:spacing w:val="-1"/>
          <w:sz w:val="28"/>
        </w:rPr>
        <w:t> </w:t>
      </w:r>
      <w:r>
        <w:rPr>
          <w:sz w:val="28"/>
        </w:rPr>
        <w:t>hủy</w:t>
      </w:r>
      <w:r>
        <w:rPr>
          <w:spacing w:val="-1"/>
          <w:sz w:val="28"/>
        </w:rPr>
        <w:t> </w:t>
      </w:r>
      <w:r>
        <w:rPr>
          <w:sz w:val="28"/>
        </w:rPr>
        <w:t>hoại sức khỏe của con người, mà còn là</w:t>
      </w:r>
      <w:r>
        <w:rPr>
          <w:spacing w:val="-2"/>
          <w:sz w:val="28"/>
        </w:rPr>
        <w:t> </w:t>
      </w:r>
      <w:r>
        <w:rPr>
          <w:sz w:val="28"/>
        </w:rPr>
        <w:t>nguyên nhân gây</w:t>
      </w:r>
      <w:r>
        <w:rPr>
          <w:spacing w:val="-1"/>
          <w:sz w:val="28"/>
        </w:rPr>
        <w:t> </w:t>
      </w:r>
      <w:r>
        <w:rPr>
          <w:sz w:val="28"/>
        </w:rPr>
        <w:t>ra các tội phạm khác. Bản thân bị cáo là người có đủ năng lực chịu trách nhiệm hình sự</w:t>
      </w:r>
      <w:r>
        <w:rPr>
          <w:spacing w:val="40"/>
          <w:sz w:val="28"/>
        </w:rPr>
        <w:t> </w:t>
      </w:r>
      <w:r>
        <w:rPr>
          <w:sz w:val="28"/>
        </w:rPr>
        <w:t>và</w:t>
      </w:r>
      <w:r>
        <w:rPr>
          <w:spacing w:val="-1"/>
          <w:sz w:val="28"/>
        </w:rPr>
        <w:t> </w:t>
      </w:r>
      <w:r>
        <w:rPr>
          <w:sz w:val="28"/>
        </w:rPr>
        <w:t>nhận thức</w:t>
      </w:r>
      <w:r>
        <w:rPr>
          <w:spacing w:val="-1"/>
          <w:sz w:val="28"/>
        </w:rPr>
        <w:t> </w:t>
      </w:r>
      <w:r>
        <w:rPr>
          <w:sz w:val="28"/>
        </w:rPr>
        <w:t>được</w:t>
      </w:r>
      <w:r>
        <w:rPr>
          <w:spacing w:val="-1"/>
          <w:sz w:val="28"/>
        </w:rPr>
        <w:t> </w:t>
      </w:r>
      <w:r>
        <w:rPr>
          <w:sz w:val="28"/>
        </w:rPr>
        <w:t>hành vi của mình là vi phạm</w:t>
      </w:r>
      <w:r>
        <w:rPr>
          <w:spacing w:val="-5"/>
          <w:sz w:val="28"/>
        </w:rPr>
        <w:t> </w:t>
      </w:r>
      <w:r>
        <w:rPr>
          <w:sz w:val="28"/>
        </w:rPr>
        <w:t>pháp luật. Bị cáo thực</w:t>
      </w:r>
      <w:r>
        <w:rPr>
          <w:spacing w:val="-1"/>
          <w:sz w:val="28"/>
        </w:rPr>
        <w:t> </w:t>
      </w:r>
      <w:r>
        <w:rPr>
          <w:sz w:val="28"/>
        </w:rPr>
        <w:t>hiện hành vi phạm tội với lỗi cố ý, không bị ai xúi giục. Do đó, cần phải có hình phạt nghiêm khắc, cách ly bị cáo ra khỏi xã hội một thời hạn nhất định như đề nghị của vị đại diện Viện kiểm sát, để bị cáo cải tạo bản thân và làm gương răn đe, giáo dục trong Nhân dân.</w:t>
      </w:r>
    </w:p>
    <w:p>
      <w:pPr>
        <w:pStyle w:val="ListParagraph"/>
        <w:numPr>
          <w:ilvl w:val="0"/>
          <w:numId w:val="2"/>
        </w:numPr>
        <w:tabs>
          <w:tab w:pos="1295" w:val="left" w:leader="none"/>
        </w:tabs>
        <w:spacing w:line="237" w:lineRule="auto" w:before="102" w:after="0"/>
        <w:ind w:left="102" w:right="105" w:firstLine="789"/>
        <w:jc w:val="both"/>
        <w:rPr>
          <w:sz w:val="28"/>
        </w:rPr>
      </w:pPr>
      <w:r>
        <w:rPr>
          <w:sz w:val="28"/>
        </w:rPr>
        <w:t>Về nhân thân: Ngoài lần phạm tội này, bị cáo Giàng Thị M chưa có tiền án, tiền sự.</w:t>
      </w:r>
    </w:p>
    <w:p>
      <w:pPr>
        <w:pStyle w:val="ListParagraph"/>
        <w:numPr>
          <w:ilvl w:val="0"/>
          <w:numId w:val="2"/>
        </w:numPr>
        <w:tabs>
          <w:tab w:pos="1240" w:val="left" w:leader="none"/>
        </w:tabs>
        <w:spacing w:line="240" w:lineRule="auto" w:before="105" w:after="0"/>
        <w:ind w:left="102" w:right="104" w:firstLine="719"/>
        <w:jc w:val="both"/>
        <w:rPr>
          <w:sz w:val="28"/>
        </w:rPr>
      </w:pPr>
      <w:r>
        <w:rPr>
          <w:sz w:val="28"/>
        </w:rPr>
        <w:t>Về tình tiết giảm nhẹ, tăng nặng trách nhiệm hình sự: Khi bị bắt giữ bị cáo luôn thành khẩn khai báo về hành vi phạm tội. Tại phiên tòa, bị cáo cũng đã thành khẩn khai báo và ăn năn hối cải về hành vi phạm</w:t>
      </w:r>
      <w:r>
        <w:rPr>
          <w:spacing w:val="-2"/>
          <w:sz w:val="28"/>
        </w:rPr>
        <w:t> </w:t>
      </w:r>
      <w:r>
        <w:rPr>
          <w:sz w:val="28"/>
        </w:rPr>
        <w:t>tội của mình. Do đó, bị cáo được hưởng tình tiết giảm nhẹ trách nhiệm hình sự quy định tại điểm s khoản 1 Điều 51 của Bộ luật hình sự. Bị cáo không có tình tiết tăng nặng trách nhiệm hình sự theo quy định tại khoản 1 Điều 52 của Bộ luật hình sự.</w:t>
      </w:r>
    </w:p>
    <w:p>
      <w:pPr>
        <w:pStyle w:val="ListParagraph"/>
        <w:numPr>
          <w:ilvl w:val="0"/>
          <w:numId w:val="2"/>
        </w:numPr>
        <w:tabs>
          <w:tab w:pos="1238" w:val="left" w:leader="none"/>
        </w:tabs>
        <w:spacing w:line="240" w:lineRule="auto" w:before="101" w:after="0"/>
        <w:ind w:left="102" w:right="104" w:firstLine="719"/>
        <w:jc w:val="both"/>
        <w:rPr>
          <w:sz w:val="28"/>
        </w:rPr>
      </w:pPr>
      <w:r>
        <w:rPr>
          <w:sz w:val="28"/>
        </w:rPr>
        <w:t>Về hình phạt bổ sung: Theo quy định tại khoản 5 Điều 249 của Bộ luật Hình sự thì </w:t>
      </w:r>
      <w:r>
        <w:rPr>
          <w:i/>
          <w:sz w:val="28"/>
        </w:rPr>
        <w:t>“Người phạm tội còn có thể bị phạt tiền từ 5.000.000 đồng đến</w:t>
      </w:r>
      <w:r>
        <w:rPr>
          <w:i/>
          <w:sz w:val="28"/>
        </w:rPr>
        <w:t> 500.000.000 đồng, cấm đảm nhiệm chức vụ, cấm hành nghề hoặc làm công việc nhất định từ 01 năm đến 05 năm hoặc tịch thu một phần hoặc toàn bộ tài sản</w:t>
      </w:r>
      <w:r>
        <w:rPr>
          <w:sz w:val="28"/>
        </w:rPr>
        <w:t>”, do đó, bị cáo có thể bị áp dụng hình phạt bổ sung là hình phạt tiền. Tuy nhiên, theo</w:t>
      </w:r>
      <w:r>
        <w:rPr>
          <w:spacing w:val="40"/>
          <w:sz w:val="28"/>
        </w:rPr>
        <w:t> </w:t>
      </w:r>
      <w:r>
        <w:rPr>
          <w:sz w:val="28"/>
        </w:rPr>
        <w:t>các tài liệu, chứng cứ và lời khai của bị cáo tại phiên tòa cho thấy, bị cáo là người nghiện</w:t>
      </w:r>
      <w:r>
        <w:rPr>
          <w:spacing w:val="-1"/>
          <w:sz w:val="28"/>
        </w:rPr>
        <w:t> </w:t>
      </w:r>
      <w:r>
        <w:rPr>
          <w:sz w:val="28"/>
        </w:rPr>
        <w:t>ma</w:t>
      </w:r>
      <w:r>
        <w:rPr>
          <w:spacing w:val="-1"/>
          <w:sz w:val="28"/>
        </w:rPr>
        <w:t> </w:t>
      </w:r>
      <w:r>
        <w:rPr>
          <w:sz w:val="28"/>
        </w:rPr>
        <w:t>túy,</w:t>
      </w:r>
      <w:r>
        <w:rPr>
          <w:spacing w:val="-1"/>
          <w:sz w:val="28"/>
        </w:rPr>
        <w:t> </w:t>
      </w:r>
      <w:r>
        <w:rPr>
          <w:sz w:val="28"/>
        </w:rPr>
        <w:t>nghề</w:t>
      </w:r>
      <w:r>
        <w:rPr>
          <w:spacing w:val="-4"/>
          <w:sz w:val="28"/>
        </w:rPr>
        <w:t> </w:t>
      </w:r>
      <w:r>
        <w:rPr>
          <w:sz w:val="28"/>
        </w:rPr>
        <w:t>nghiệp</w:t>
      </w:r>
      <w:r>
        <w:rPr>
          <w:spacing w:val="-2"/>
          <w:sz w:val="28"/>
        </w:rPr>
        <w:t> </w:t>
      </w:r>
      <w:r>
        <w:rPr>
          <w:sz w:val="28"/>
        </w:rPr>
        <w:t>chính</w:t>
      </w:r>
      <w:r>
        <w:rPr>
          <w:spacing w:val="-2"/>
          <w:sz w:val="28"/>
        </w:rPr>
        <w:t> </w:t>
      </w:r>
      <w:r>
        <w:rPr>
          <w:sz w:val="28"/>
        </w:rPr>
        <w:t>là làm</w:t>
      </w:r>
      <w:r>
        <w:rPr>
          <w:spacing w:val="-4"/>
          <w:sz w:val="28"/>
        </w:rPr>
        <w:t> </w:t>
      </w:r>
      <w:r>
        <w:rPr>
          <w:sz w:val="28"/>
        </w:rPr>
        <w:t>nông</w:t>
      </w:r>
      <w:r>
        <w:rPr>
          <w:spacing w:val="-1"/>
          <w:sz w:val="28"/>
        </w:rPr>
        <w:t> </w:t>
      </w:r>
      <w:r>
        <w:rPr>
          <w:sz w:val="28"/>
        </w:rPr>
        <w:t>nghiệp,</w:t>
      </w:r>
      <w:r>
        <w:rPr>
          <w:spacing w:val="-1"/>
          <w:sz w:val="28"/>
        </w:rPr>
        <w:t> </w:t>
      </w:r>
      <w:r>
        <w:rPr>
          <w:sz w:val="28"/>
        </w:rPr>
        <w:t>bản</w:t>
      </w:r>
      <w:r>
        <w:rPr>
          <w:spacing w:val="-1"/>
          <w:sz w:val="28"/>
        </w:rPr>
        <w:t> </w:t>
      </w:r>
      <w:r>
        <w:rPr>
          <w:sz w:val="28"/>
        </w:rPr>
        <w:t>thân</w:t>
      </w:r>
      <w:r>
        <w:rPr>
          <w:spacing w:val="-1"/>
          <w:sz w:val="28"/>
        </w:rPr>
        <w:t> </w:t>
      </w:r>
      <w:r>
        <w:rPr>
          <w:sz w:val="28"/>
        </w:rPr>
        <w:t>bị</w:t>
      </w:r>
      <w:r>
        <w:rPr>
          <w:spacing w:val="-1"/>
          <w:sz w:val="28"/>
        </w:rPr>
        <w:t> </w:t>
      </w:r>
      <w:r>
        <w:rPr>
          <w:sz w:val="28"/>
        </w:rPr>
        <w:t>cáo không có</w:t>
      </w:r>
      <w:r>
        <w:rPr>
          <w:spacing w:val="-1"/>
          <w:sz w:val="28"/>
        </w:rPr>
        <w:t> </w:t>
      </w:r>
      <w:r>
        <w:rPr>
          <w:sz w:val="28"/>
        </w:rPr>
        <w:t>tài sản riêng có giá trị nên không có khả năng thi hành hình phạt bổ sung là phạt tiền. Vì vậy, Hội đồng xét xử quyết định không áp dụng hình phạt bổ sung là phạt tiền đối với bị cáo.</w:t>
      </w:r>
    </w:p>
    <w:p>
      <w:pPr>
        <w:pStyle w:val="ListParagraph"/>
        <w:numPr>
          <w:ilvl w:val="0"/>
          <w:numId w:val="2"/>
        </w:numPr>
        <w:tabs>
          <w:tab w:pos="1219" w:val="left" w:leader="none"/>
        </w:tabs>
        <w:spacing w:line="240" w:lineRule="auto" w:before="100" w:after="0"/>
        <w:ind w:left="102" w:right="106" w:firstLine="719"/>
        <w:jc w:val="both"/>
        <w:rPr>
          <w:sz w:val="28"/>
        </w:rPr>
      </w:pPr>
      <w:r>
        <w:rPr>
          <w:sz w:val="28"/>
        </w:rPr>
        <w:t>Xét</w:t>
      </w:r>
      <w:r>
        <w:rPr>
          <w:spacing w:val="-2"/>
          <w:sz w:val="28"/>
        </w:rPr>
        <w:t> </w:t>
      </w:r>
      <w:r>
        <w:rPr>
          <w:sz w:val="28"/>
        </w:rPr>
        <w:t>đề</w:t>
      </w:r>
      <w:r>
        <w:rPr>
          <w:spacing w:val="-3"/>
          <w:sz w:val="28"/>
        </w:rPr>
        <w:t> </w:t>
      </w:r>
      <w:r>
        <w:rPr>
          <w:sz w:val="28"/>
        </w:rPr>
        <w:t>nghị</w:t>
      </w:r>
      <w:r>
        <w:rPr>
          <w:spacing w:val="-2"/>
          <w:sz w:val="28"/>
        </w:rPr>
        <w:t> </w:t>
      </w:r>
      <w:r>
        <w:rPr>
          <w:sz w:val="28"/>
        </w:rPr>
        <w:t>của</w:t>
      </w:r>
      <w:r>
        <w:rPr>
          <w:spacing w:val="-3"/>
          <w:sz w:val="28"/>
        </w:rPr>
        <w:t> </w:t>
      </w:r>
      <w:r>
        <w:rPr>
          <w:sz w:val="28"/>
        </w:rPr>
        <w:t>người</w:t>
      </w:r>
      <w:r>
        <w:rPr>
          <w:spacing w:val="-5"/>
          <w:sz w:val="28"/>
        </w:rPr>
        <w:t> </w:t>
      </w:r>
      <w:r>
        <w:rPr>
          <w:sz w:val="28"/>
        </w:rPr>
        <w:t>bào</w:t>
      </w:r>
      <w:r>
        <w:rPr>
          <w:spacing w:val="-2"/>
          <w:sz w:val="28"/>
        </w:rPr>
        <w:t> </w:t>
      </w:r>
      <w:r>
        <w:rPr>
          <w:sz w:val="28"/>
        </w:rPr>
        <w:t>chữa:</w:t>
      </w:r>
      <w:r>
        <w:rPr>
          <w:spacing w:val="-2"/>
          <w:sz w:val="28"/>
        </w:rPr>
        <w:t> </w:t>
      </w:r>
      <w:r>
        <w:rPr>
          <w:sz w:val="28"/>
        </w:rPr>
        <w:t>Tại</w:t>
      </w:r>
      <w:r>
        <w:rPr>
          <w:spacing w:val="-2"/>
          <w:sz w:val="28"/>
        </w:rPr>
        <w:t> </w:t>
      </w:r>
      <w:r>
        <w:rPr>
          <w:sz w:val="28"/>
        </w:rPr>
        <w:t>phiên</w:t>
      </w:r>
      <w:r>
        <w:rPr>
          <w:spacing w:val="-2"/>
          <w:sz w:val="28"/>
        </w:rPr>
        <w:t> </w:t>
      </w:r>
      <w:r>
        <w:rPr>
          <w:sz w:val="28"/>
        </w:rPr>
        <w:t>tòa</w:t>
      </w:r>
      <w:r>
        <w:rPr>
          <w:spacing w:val="-5"/>
          <w:sz w:val="28"/>
        </w:rPr>
        <w:t> </w:t>
      </w:r>
      <w:r>
        <w:rPr>
          <w:sz w:val="28"/>
        </w:rPr>
        <w:t>người</w:t>
      </w:r>
      <w:r>
        <w:rPr>
          <w:spacing w:val="-2"/>
          <w:sz w:val="28"/>
        </w:rPr>
        <w:t> </w:t>
      </w:r>
      <w:r>
        <w:rPr>
          <w:sz w:val="28"/>
        </w:rPr>
        <w:t>bào</w:t>
      </w:r>
      <w:r>
        <w:rPr>
          <w:spacing w:val="-2"/>
          <w:sz w:val="28"/>
        </w:rPr>
        <w:t> </w:t>
      </w:r>
      <w:r>
        <w:rPr>
          <w:sz w:val="28"/>
        </w:rPr>
        <w:t>chữa</w:t>
      </w:r>
      <w:r>
        <w:rPr>
          <w:spacing w:val="-3"/>
          <w:sz w:val="28"/>
        </w:rPr>
        <w:t> </w:t>
      </w:r>
      <w:r>
        <w:rPr>
          <w:sz w:val="28"/>
        </w:rPr>
        <w:t>cho</w:t>
      </w:r>
      <w:r>
        <w:rPr>
          <w:spacing w:val="-5"/>
          <w:sz w:val="28"/>
        </w:rPr>
        <w:t> </w:t>
      </w:r>
      <w:r>
        <w:rPr>
          <w:sz w:val="28"/>
        </w:rPr>
        <w:t>bị</w:t>
      </w:r>
      <w:r>
        <w:rPr>
          <w:spacing w:val="-2"/>
          <w:sz w:val="28"/>
        </w:rPr>
        <w:t> </w:t>
      </w:r>
      <w:r>
        <w:rPr>
          <w:sz w:val="28"/>
        </w:rPr>
        <w:t>cáo nhất trí với nội dung Cáo trạng cũng như luận tội của vị đại diện Viện kiểm sát về tội danh,</w:t>
      </w:r>
      <w:r>
        <w:rPr>
          <w:spacing w:val="-1"/>
          <w:sz w:val="28"/>
        </w:rPr>
        <w:t> </w:t>
      </w:r>
      <w:r>
        <w:rPr>
          <w:sz w:val="28"/>
        </w:rPr>
        <w:t>điều luật</w:t>
      </w:r>
      <w:r>
        <w:rPr>
          <w:spacing w:val="-1"/>
          <w:sz w:val="28"/>
        </w:rPr>
        <w:t> </w:t>
      </w:r>
      <w:r>
        <w:rPr>
          <w:sz w:val="28"/>
        </w:rPr>
        <w:t>và</w:t>
      </w:r>
      <w:r>
        <w:rPr>
          <w:spacing w:val="-1"/>
          <w:sz w:val="28"/>
        </w:rPr>
        <w:t> </w:t>
      </w:r>
      <w:r>
        <w:rPr>
          <w:sz w:val="28"/>
        </w:rPr>
        <w:t>mức hình phạt áp dụng đối với bị cáo vì hành vi phạm</w:t>
      </w:r>
      <w:r>
        <w:rPr>
          <w:spacing w:val="-5"/>
          <w:sz w:val="28"/>
        </w:rPr>
        <w:t> </w:t>
      </w:r>
      <w:r>
        <w:rPr>
          <w:sz w:val="28"/>
        </w:rPr>
        <w:t>tội của bị cáo là rõ ràng. Người bào chữa đề nghị Hội đồng xét xử căn cứ vào tình tiết</w:t>
      </w:r>
      <w:r>
        <w:rPr>
          <w:spacing w:val="40"/>
          <w:sz w:val="28"/>
        </w:rPr>
        <w:t> </w:t>
      </w:r>
      <w:r>
        <w:rPr>
          <w:sz w:val="28"/>
        </w:rPr>
        <w:t>giảm</w:t>
      </w:r>
      <w:r>
        <w:rPr>
          <w:spacing w:val="24"/>
          <w:sz w:val="28"/>
        </w:rPr>
        <w:t> </w:t>
      </w:r>
      <w:r>
        <w:rPr>
          <w:sz w:val="28"/>
        </w:rPr>
        <w:t>nhẹ</w:t>
      </w:r>
      <w:r>
        <w:rPr>
          <w:spacing w:val="29"/>
          <w:sz w:val="28"/>
        </w:rPr>
        <w:t> </w:t>
      </w:r>
      <w:r>
        <w:rPr>
          <w:sz w:val="28"/>
        </w:rPr>
        <w:t>theo</w:t>
      </w:r>
      <w:r>
        <w:rPr>
          <w:spacing w:val="30"/>
          <w:sz w:val="28"/>
        </w:rPr>
        <w:t> </w:t>
      </w:r>
      <w:r>
        <w:rPr>
          <w:sz w:val="28"/>
        </w:rPr>
        <w:t>điểm</w:t>
      </w:r>
      <w:r>
        <w:rPr>
          <w:spacing w:val="29"/>
          <w:sz w:val="28"/>
        </w:rPr>
        <w:t> </w:t>
      </w:r>
      <w:r>
        <w:rPr>
          <w:sz w:val="28"/>
        </w:rPr>
        <w:t>s</w:t>
      </w:r>
      <w:r>
        <w:rPr>
          <w:spacing w:val="30"/>
          <w:sz w:val="28"/>
        </w:rPr>
        <w:t> </w:t>
      </w:r>
      <w:r>
        <w:rPr>
          <w:sz w:val="28"/>
        </w:rPr>
        <w:t>khoản</w:t>
      </w:r>
      <w:r>
        <w:rPr>
          <w:spacing w:val="30"/>
          <w:sz w:val="28"/>
        </w:rPr>
        <w:t> </w:t>
      </w:r>
      <w:r>
        <w:rPr>
          <w:sz w:val="28"/>
        </w:rPr>
        <w:t>1</w:t>
      </w:r>
      <w:r>
        <w:rPr>
          <w:spacing w:val="30"/>
          <w:sz w:val="28"/>
        </w:rPr>
        <w:t> </w:t>
      </w:r>
      <w:r>
        <w:rPr>
          <w:sz w:val="28"/>
        </w:rPr>
        <w:t>Điều</w:t>
      </w:r>
      <w:r>
        <w:rPr>
          <w:spacing w:val="30"/>
          <w:sz w:val="28"/>
        </w:rPr>
        <w:t> </w:t>
      </w:r>
      <w:r>
        <w:rPr>
          <w:sz w:val="28"/>
        </w:rPr>
        <w:t>51</w:t>
      </w:r>
      <w:r>
        <w:rPr>
          <w:spacing w:val="30"/>
          <w:sz w:val="28"/>
        </w:rPr>
        <w:t> </w:t>
      </w:r>
      <w:r>
        <w:rPr>
          <w:sz w:val="28"/>
        </w:rPr>
        <w:t>của</w:t>
      </w:r>
      <w:r>
        <w:rPr>
          <w:spacing w:val="29"/>
          <w:sz w:val="28"/>
        </w:rPr>
        <w:t> </w:t>
      </w:r>
      <w:r>
        <w:rPr>
          <w:sz w:val="28"/>
        </w:rPr>
        <w:t>Bộ</w:t>
      </w:r>
      <w:r>
        <w:rPr>
          <w:spacing w:val="30"/>
          <w:sz w:val="28"/>
        </w:rPr>
        <w:t> </w:t>
      </w:r>
      <w:r>
        <w:rPr>
          <w:sz w:val="28"/>
        </w:rPr>
        <w:t>luật</w:t>
      </w:r>
      <w:r>
        <w:rPr>
          <w:spacing w:val="30"/>
          <w:sz w:val="28"/>
        </w:rPr>
        <w:t> </w:t>
      </w:r>
      <w:r>
        <w:rPr>
          <w:sz w:val="28"/>
        </w:rPr>
        <w:t>Hình</w:t>
      </w:r>
      <w:r>
        <w:rPr>
          <w:spacing w:val="30"/>
          <w:sz w:val="28"/>
        </w:rPr>
        <w:t> </w:t>
      </w:r>
      <w:r>
        <w:rPr>
          <w:sz w:val="28"/>
        </w:rPr>
        <w:t>sự,</w:t>
      </w:r>
      <w:r>
        <w:rPr>
          <w:spacing w:val="28"/>
          <w:sz w:val="28"/>
        </w:rPr>
        <w:t> </w:t>
      </w:r>
      <w:r>
        <w:rPr>
          <w:sz w:val="28"/>
        </w:rPr>
        <w:t>nhân</w:t>
      </w:r>
      <w:r>
        <w:rPr>
          <w:spacing w:val="30"/>
          <w:sz w:val="28"/>
        </w:rPr>
        <w:t> </w:t>
      </w:r>
      <w:r>
        <w:rPr>
          <w:sz w:val="28"/>
        </w:rPr>
        <w:t>thân</w:t>
      </w:r>
      <w:r>
        <w:rPr>
          <w:spacing w:val="30"/>
          <w:sz w:val="28"/>
        </w:rPr>
        <w:t> </w:t>
      </w:r>
      <w:r>
        <w:rPr>
          <w:sz w:val="28"/>
        </w:rPr>
        <w:t>và</w:t>
      </w:r>
      <w:r>
        <w:rPr>
          <w:spacing w:val="27"/>
          <w:sz w:val="28"/>
        </w:rPr>
        <w:t> </w:t>
      </w:r>
      <w:r>
        <w:rPr>
          <w:sz w:val="28"/>
        </w:rPr>
        <w:t>hoàn</w:t>
      </w:r>
    </w:p>
    <w:p>
      <w:pPr>
        <w:spacing w:after="0" w:line="240" w:lineRule="auto"/>
        <w:jc w:val="both"/>
        <w:rPr>
          <w:sz w:val="28"/>
        </w:rPr>
        <w:sectPr>
          <w:pgSz w:w="11910" w:h="16850"/>
          <w:pgMar w:header="0" w:footer="791" w:top="1060" w:bottom="980" w:left="1600" w:right="740"/>
        </w:sectPr>
      </w:pPr>
    </w:p>
    <w:p>
      <w:pPr>
        <w:pStyle w:val="BodyText"/>
        <w:spacing w:before="65"/>
        <w:ind w:right="115" w:firstLine="0"/>
      </w:pPr>
      <w:r>
        <w:rPr/>
        <w:t>cảnh, xem</w:t>
      </w:r>
      <w:r>
        <w:rPr>
          <w:spacing w:val="-5"/>
        </w:rPr>
        <w:t> </w:t>
      </w:r>
      <w:r>
        <w:rPr/>
        <w:t>xét xử</w:t>
      </w:r>
      <w:r>
        <w:rPr>
          <w:spacing w:val="-1"/>
        </w:rPr>
        <w:t> </w:t>
      </w:r>
      <w:r>
        <w:rPr/>
        <w:t>phạt bị cáo mức thấp nhất theo đề nghị của</w:t>
      </w:r>
      <w:r>
        <w:rPr>
          <w:spacing w:val="-1"/>
        </w:rPr>
        <w:t> </w:t>
      </w:r>
      <w:r>
        <w:rPr/>
        <w:t>vị đại diện Viện kiểm sát. Đề nghị của người bào chữa là có cơ sở nên Hội đồng xét xử chấp nhận.</w:t>
      </w:r>
    </w:p>
    <w:p>
      <w:pPr>
        <w:pStyle w:val="ListParagraph"/>
        <w:numPr>
          <w:ilvl w:val="0"/>
          <w:numId w:val="2"/>
        </w:numPr>
        <w:tabs>
          <w:tab w:pos="1307" w:val="left" w:leader="none"/>
        </w:tabs>
        <w:spacing w:line="240" w:lineRule="auto" w:before="100" w:after="0"/>
        <w:ind w:left="102" w:right="108" w:firstLine="719"/>
        <w:jc w:val="both"/>
        <w:rPr>
          <w:sz w:val="28"/>
        </w:rPr>
      </w:pPr>
      <w:r>
        <w:rPr>
          <w:sz w:val="28"/>
        </w:rPr>
        <w:t>Về vật chứng của vụ án: Vật chứng là 8,1 (tám phẩy một gam) Methamphetamine và 2,69 (hai phẩy sáu mươi chín) gam Heroine còn lại sau khi trích mẫu giám định, Hội đồng xét xử căn cứ vào điểm c khoản 1 Điều 47 của Bộ luật Hình sự và khoản 1, điểm a khoản 2 Điều 106 của Bộ luật Tố tụng hình sự, quyết định tịch thu tiêu hủy.</w:t>
      </w:r>
    </w:p>
    <w:p>
      <w:pPr>
        <w:pStyle w:val="ListParagraph"/>
        <w:numPr>
          <w:ilvl w:val="0"/>
          <w:numId w:val="2"/>
        </w:numPr>
        <w:tabs>
          <w:tab w:pos="1247" w:val="left" w:leader="none"/>
        </w:tabs>
        <w:spacing w:line="240" w:lineRule="auto" w:before="101" w:after="0"/>
        <w:ind w:left="102" w:right="105" w:firstLine="719"/>
        <w:jc w:val="both"/>
        <w:rPr>
          <w:sz w:val="28"/>
        </w:rPr>
      </w:pPr>
      <w:r>
        <w:rPr>
          <w:sz w:val="28"/>
        </w:rPr>
        <w:t>Về hành vi, quyết định tố tụng của Cơ quan cảnh sát điều tra Công an huyện N, Điều tra viên, Viện kiểm sát nhân dân huyện N, Kiểm sát viên và người bào chữa trong quá trình điều tra, truy tố đã thực hiện đúng về thẩm quyền, trình</w:t>
      </w:r>
      <w:r>
        <w:rPr>
          <w:spacing w:val="40"/>
          <w:sz w:val="28"/>
        </w:rPr>
        <w:t> </w:t>
      </w:r>
      <w:r>
        <w:rPr>
          <w:sz w:val="28"/>
        </w:rPr>
        <w:t>tự, thủ tục quy định của Bộ luật tố tụng Hình sự. Bị cáo không có ý kiến hoặc</w:t>
      </w:r>
      <w:r>
        <w:rPr>
          <w:spacing w:val="40"/>
          <w:sz w:val="28"/>
        </w:rPr>
        <w:t> </w:t>
      </w:r>
      <w:r>
        <w:rPr>
          <w:sz w:val="28"/>
        </w:rPr>
        <w:t>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28" w:val="left" w:leader="none"/>
        </w:tabs>
        <w:spacing w:line="240" w:lineRule="auto" w:before="102" w:after="0"/>
        <w:ind w:left="102" w:right="104" w:firstLine="719"/>
        <w:jc w:val="both"/>
        <w:rPr>
          <w:sz w:val="28"/>
        </w:rPr>
      </w:pPr>
      <w:r>
        <w:rPr>
          <w:sz w:val="28"/>
        </w:rPr>
        <w:t>Trong vụ án Giàng Thị M khai đã mua 02 chất ma túy của 01 người đàn ông không quen biết vào khoảng 13 giờ ngày 17/6/2022 tại khu vực Mốc 56 biên giới Việt Nam</w:t>
      </w:r>
      <w:r>
        <w:rPr>
          <w:spacing w:val="-4"/>
          <w:sz w:val="28"/>
        </w:rPr>
        <w:t> </w:t>
      </w:r>
      <w:r>
        <w:rPr>
          <w:sz w:val="28"/>
        </w:rPr>
        <w:t>– Lào thuộc bản K,</w:t>
      </w:r>
      <w:r>
        <w:rPr>
          <w:spacing w:val="-1"/>
          <w:sz w:val="28"/>
        </w:rPr>
        <w:t> </w:t>
      </w:r>
      <w:r>
        <w:rPr>
          <w:sz w:val="28"/>
        </w:rPr>
        <w:t>xã B,</w:t>
      </w:r>
      <w:r>
        <w:rPr>
          <w:spacing w:val="-1"/>
          <w:sz w:val="28"/>
        </w:rPr>
        <w:t> </w:t>
      </w:r>
      <w:r>
        <w:rPr>
          <w:sz w:val="28"/>
        </w:rPr>
        <w:t>huyện N,</w:t>
      </w:r>
      <w:r>
        <w:rPr>
          <w:spacing w:val="-1"/>
          <w:sz w:val="28"/>
        </w:rPr>
        <w:t> </w:t>
      </w:r>
      <w:r>
        <w:rPr>
          <w:sz w:val="28"/>
        </w:rPr>
        <w:t>tỉnh Điện Biên. Do bị cáo không biết tên, địa chỉ cụ thể của người đàn ông này ở đâu nên cơ quan Cảnh sát điều tra Công an huyện N không có căn cứ để điều tra, làm rõ xử lý theo quy định, Hội đồng xét xử không có cơ sở xem xét.</w:t>
      </w:r>
    </w:p>
    <w:p>
      <w:pPr>
        <w:pStyle w:val="ListParagraph"/>
        <w:numPr>
          <w:ilvl w:val="0"/>
          <w:numId w:val="2"/>
        </w:numPr>
        <w:tabs>
          <w:tab w:pos="1370" w:val="left" w:leader="none"/>
        </w:tabs>
        <w:spacing w:line="240" w:lineRule="auto" w:before="98" w:after="0"/>
        <w:ind w:left="102" w:right="104" w:firstLine="719"/>
        <w:jc w:val="both"/>
        <w:rPr>
          <w:sz w:val="28"/>
        </w:rPr>
      </w:pPr>
      <w:r>
        <w:rPr>
          <w:sz w:val="28"/>
        </w:rPr>
        <w:t>Về án phí hình sự sơ thẩm: Tại phiên tòa đại diện Viện kiểm sát, người bào chữa và bị cáo đề nghị Hội đồng xét xử xem xét miễn án phí hình sự sơ thẩm cho bị cáo. Căn cứ vào Nghị quyết số 326/2016/UBTVQH14, Hội đồng xét xử xét thấy, bị cáo là dân tộc thiểu số (dân tộc Mông) sống tại xã B, huyện N, tỉnh Điện Biên là xã có điều kiện - xã hội đặc biệt khó khăn. Vì vậy, Hội đồng xét xử quyết định, miễn án phí hình sự sơ thẩm cho bị cáo.</w:t>
      </w:r>
    </w:p>
    <w:p>
      <w:pPr>
        <w:pStyle w:val="ListParagraph"/>
        <w:numPr>
          <w:ilvl w:val="0"/>
          <w:numId w:val="2"/>
        </w:numPr>
        <w:tabs>
          <w:tab w:pos="1379" w:val="left" w:leader="none"/>
        </w:tabs>
        <w:spacing w:line="240" w:lineRule="auto" w:before="102" w:after="0"/>
        <w:ind w:left="102" w:right="105" w:firstLine="719"/>
        <w:jc w:val="both"/>
        <w:rPr>
          <w:sz w:val="28"/>
        </w:rPr>
      </w:pPr>
      <w:r>
        <w:rPr>
          <w:sz w:val="28"/>
        </w:rPr>
        <w:t>Về quyền kháng cáo: Căn cứ Điều 331, khoản 1 Điều 333 của Bộ luật</w:t>
      </w:r>
      <w:r>
        <w:rPr>
          <w:spacing w:val="40"/>
          <w:sz w:val="28"/>
        </w:rPr>
        <w:t> </w:t>
      </w:r>
      <w:r>
        <w:rPr>
          <w:sz w:val="28"/>
        </w:rPr>
        <w:t>tố tụng hình sự, bị cáo có quyền kháng cáo bản án trong hạn 15 ngày kể từ ngày tuyên án.</w:t>
      </w:r>
    </w:p>
    <w:p>
      <w:pPr>
        <w:spacing w:before="97"/>
        <w:ind w:left="82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05"/>
        <w:ind w:left="802" w:right="1130" w:firstLine="0"/>
        <w:jc w:val="center"/>
        <w:rPr>
          <w:b/>
          <w:sz w:val="28"/>
        </w:rPr>
      </w:pPr>
      <w:r>
        <w:rPr>
          <w:b/>
          <w:sz w:val="28"/>
        </w:rPr>
        <w:t>QUYẾT</w:t>
      </w:r>
      <w:r>
        <w:rPr>
          <w:b/>
          <w:spacing w:val="-4"/>
          <w:sz w:val="28"/>
        </w:rPr>
        <w:t> </w:t>
      </w:r>
      <w:r>
        <w:rPr>
          <w:b/>
          <w:spacing w:val="-2"/>
          <w:sz w:val="28"/>
        </w:rPr>
        <w:t>ĐỊNH:</w:t>
      </w:r>
    </w:p>
    <w:p>
      <w:pPr>
        <w:pStyle w:val="BodyText"/>
        <w:spacing w:line="237" w:lineRule="auto"/>
        <w:ind w:right="103"/>
      </w:pPr>
      <w:r>
        <w:rPr/>
        <w:t>Căn cứ vào điểm n khoản 2 Điều 249, điểm s khoản 1 Điều 51, Điều 38 của Bộ luật hình sự;</w:t>
      </w:r>
    </w:p>
    <w:p>
      <w:pPr>
        <w:pStyle w:val="ListParagraph"/>
        <w:numPr>
          <w:ilvl w:val="0"/>
          <w:numId w:val="3"/>
        </w:numPr>
        <w:tabs>
          <w:tab w:pos="1130" w:val="left" w:leader="none"/>
        </w:tabs>
        <w:spacing w:line="237" w:lineRule="auto" w:before="107" w:after="0"/>
        <w:ind w:left="102" w:right="105" w:firstLine="719"/>
        <w:jc w:val="both"/>
        <w:rPr>
          <w:sz w:val="28"/>
        </w:rPr>
      </w:pPr>
      <w:r>
        <w:rPr>
          <w:sz w:val="28"/>
        </w:rPr>
        <w:t>Về tội danh: Tuyên bố bị cáo Giàng Thị M phạm tội Tàng trữ trái phép chất ma túy.</w:t>
      </w:r>
    </w:p>
    <w:p>
      <w:pPr>
        <w:pStyle w:val="ListParagraph"/>
        <w:numPr>
          <w:ilvl w:val="0"/>
          <w:numId w:val="3"/>
        </w:numPr>
        <w:tabs>
          <w:tab w:pos="1105" w:val="left" w:leader="none"/>
        </w:tabs>
        <w:spacing w:line="237" w:lineRule="auto" w:before="106" w:after="0"/>
        <w:ind w:left="102" w:right="102" w:firstLine="719"/>
        <w:jc w:val="both"/>
        <w:rPr>
          <w:sz w:val="28"/>
        </w:rPr>
      </w:pPr>
      <w:r>
        <w:rPr>
          <w:sz w:val="28"/>
        </w:rPr>
        <w:t>Về</w:t>
      </w:r>
      <w:r>
        <w:rPr>
          <w:spacing w:val="-2"/>
          <w:sz w:val="28"/>
        </w:rPr>
        <w:t> </w:t>
      </w:r>
      <w:r>
        <w:rPr>
          <w:sz w:val="28"/>
        </w:rPr>
        <w:t>hình</w:t>
      </w:r>
      <w:r>
        <w:rPr>
          <w:spacing w:val="-1"/>
          <w:sz w:val="28"/>
        </w:rPr>
        <w:t> </w:t>
      </w:r>
      <w:r>
        <w:rPr>
          <w:sz w:val="28"/>
        </w:rPr>
        <w:t>phạt: Xử</w:t>
      </w:r>
      <w:r>
        <w:rPr>
          <w:spacing w:val="-2"/>
          <w:sz w:val="28"/>
        </w:rPr>
        <w:t> </w:t>
      </w:r>
      <w:r>
        <w:rPr>
          <w:sz w:val="28"/>
        </w:rPr>
        <w:t>phạt</w:t>
      </w:r>
      <w:r>
        <w:rPr>
          <w:spacing w:val="-3"/>
          <w:sz w:val="28"/>
        </w:rPr>
        <w:t> </w:t>
      </w:r>
      <w:r>
        <w:rPr>
          <w:sz w:val="28"/>
        </w:rPr>
        <w:t>bị</w:t>
      </w:r>
      <w:r>
        <w:rPr>
          <w:spacing w:val="-1"/>
          <w:sz w:val="28"/>
        </w:rPr>
        <w:t> </w:t>
      </w:r>
      <w:r>
        <w:rPr>
          <w:sz w:val="28"/>
        </w:rPr>
        <w:t>cáo Giàng</w:t>
      </w:r>
      <w:r>
        <w:rPr>
          <w:spacing w:val="-2"/>
          <w:sz w:val="28"/>
        </w:rPr>
        <w:t> </w:t>
      </w:r>
      <w:r>
        <w:rPr>
          <w:sz w:val="28"/>
        </w:rPr>
        <w:t>Thị</w:t>
      </w:r>
      <w:r>
        <w:rPr>
          <w:spacing w:val="-3"/>
          <w:sz w:val="28"/>
        </w:rPr>
        <w:t> </w:t>
      </w:r>
      <w:r>
        <w:rPr>
          <w:sz w:val="28"/>
        </w:rPr>
        <w:t>M 06</w:t>
      </w:r>
      <w:r>
        <w:rPr>
          <w:spacing w:val="-2"/>
          <w:sz w:val="28"/>
        </w:rPr>
        <w:t> </w:t>
      </w:r>
      <w:r>
        <w:rPr>
          <w:sz w:val="28"/>
        </w:rPr>
        <w:t>(sáu)</w:t>
      </w:r>
      <w:r>
        <w:rPr>
          <w:spacing w:val="-3"/>
          <w:sz w:val="28"/>
        </w:rPr>
        <w:t> </w:t>
      </w:r>
      <w:r>
        <w:rPr>
          <w:sz w:val="28"/>
        </w:rPr>
        <w:t>năm</w:t>
      </w:r>
      <w:r>
        <w:rPr>
          <w:spacing w:val="-6"/>
          <w:sz w:val="28"/>
        </w:rPr>
        <w:t> </w:t>
      </w:r>
      <w:r>
        <w:rPr>
          <w:sz w:val="28"/>
        </w:rPr>
        <w:t>06 (sáu)</w:t>
      </w:r>
      <w:r>
        <w:rPr>
          <w:spacing w:val="-2"/>
          <w:sz w:val="28"/>
        </w:rPr>
        <w:t> </w:t>
      </w:r>
      <w:r>
        <w:rPr>
          <w:sz w:val="28"/>
        </w:rPr>
        <w:t>tháng</w:t>
      </w:r>
      <w:r>
        <w:rPr>
          <w:spacing w:val="-2"/>
          <w:sz w:val="28"/>
        </w:rPr>
        <w:t> </w:t>
      </w:r>
      <w:r>
        <w:rPr>
          <w:sz w:val="28"/>
        </w:rPr>
        <w:t>tù, thời hạn chấp hành hình phạt tù tính từ ngày bị tạm giữ 18/6/2022.</w:t>
      </w:r>
    </w:p>
    <w:p>
      <w:pPr>
        <w:pStyle w:val="ListParagraph"/>
        <w:numPr>
          <w:ilvl w:val="0"/>
          <w:numId w:val="3"/>
        </w:numPr>
        <w:tabs>
          <w:tab w:pos="1122" w:val="left" w:leader="none"/>
        </w:tabs>
        <w:spacing w:line="240" w:lineRule="auto" w:before="104" w:after="0"/>
        <w:ind w:left="102" w:right="104" w:firstLine="719"/>
        <w:jc w:val="both"/>
        <w:rPr>
          <w:sz w:val="28"/>
        </w:rPr>
      </w:pPr>
      <w:r>
        <w:rPr>
          <w:sz w:val="28"/>
        </w:rPr>
        <w:t>Về vật chứng: Áp dụng điểm c khoản 1 Điều 47 của Bộ luật Hình sự và khoản 1, điểm a khoản 2 Điều 106 của Bộ luật Tố tụng hình sự: Tịch thu tiêu hủy 8,1 (tám phẩy một gam) Methamphetamine và 2,69 (hai phẩy sáu mươi chín) gam Heroine còn lại sau khi đã lấy mẫu giám định.</w:t>
      </w:r>
    </w:p>
    <w:p>
      <w:pPr>
        <w:spacing w:after="0" w:line="240" w:lineRule="auto"/>
        <w:jc w:val="both"/>
        <w:rPr>
          <w:sz w:val="28"/>
        </w:rPr>
        <w:sectPr>
          <w:pgSz w:w="11910" w:h="16850"/>
          <w:pgMar w:header="0" w:footer="791" w:top="1060" w:bottom="980" w:left="1600" w:right="740"/>
        </w:sectPr>
      </w:pPr>
    </w:p>
    <w:p>
      <w:pPr>
        <w:spacing w:line="240" w:lineRule="auto" w:before="65"/>
        <w:ind w:left="102" w:right="104" w:firstLine="719"/>
        <w:jc w:val="both"/>
        <w:rPr>
          <w:i/>
          <w:sz w:val="28"/>
        </w:rPr>
      </w:pPr>
      <w:r>
        <w:rPr>
          <w:i/>
          <w:sz w:val="28"/>
        </w:rPr>
        <w:t>(Vật chứng được đựng trong phong bì niêm phong như biên bản giao, nhận</w:t>
      </w:r>
      <w:r>
        <w:rPr>
          <w:i/>
          <w:sz w:val="28"/>
        </w:rPr>
        <w:t> vật chứng ngày 25/10/2022 giữa Cơ quan Cảnh sát điều tra Công an huyện N và Chi cục thi hành án dân sự huyện N).</w:t>
      </w:r>
    </w:p>
    <w:p>
      <w:pPr>
        <w:pStyle w:val="ListParagraph"/>
        <w:numPr>
          <w:ilvl w:val="0"/>
          <w:numId w:val="3"/>
        </w:numPr>
        <w:tabs>
          <w:tab w:pos="1106" w:val="left" w:leader="none"/>
        </w:tabs>
        <w:spacing w:line="240" w:lineRule="auto" w:before="102" w:after="0"/>
        <w:ind w:left="102" w:right="105" w:firstLine="719"/>
        <w:jc w:val="both"/>
        <w:rPr>
          <w:sz w:val="28"/>
        </w:rPr>
      </w:pPr>
      <w:r>
        <w:rPr>
          <w:sz w:val="28"/>
        </w:rPr>
        <w:t>Về</w:t>
      </w:r>
      <w:r>
        <w:rPr>
          <w:spacing w:val="-2"/>
          <w:sz w:val="28"/>
        </w:rPr>
        <w:t> </w:t>
      </w:r>
      <w:r>
        <w:rPr>
          <w:sz w:val="28"/>
        </w:rPr>
        <w:t>án</w:t>
      </w:r>
      <w:r>
        <w:rPr>
          <w:spacing w:val="-3"/>
          <w:sz w:val="28"/>
        </w:rPr>
        <w:t> </w:t>
      </w:r>
      <w:r>
        <w:rPr>
          <w:sz w:val="28"/>
        </w:rPr>
        <w:t>phí:</w:t>
      </w:r>
      <w:r>
        <w:rPr>
          <w:spacing w:val="-1"/>
          <w:sz w:val="28"/>
        </w:rPr>
        <w:t> </w:t>
      </w:r>
      <w:r>
        <w:rPr>
          <w:sz w:val="28"/>
        </w:rPr>
        <w:t>Áp</w:t>
      </w:r>
      <w:r>
        <w:rPr>
          <w:spacing w:val="-2"/>
          <w:sz w:val="28"/>
        </w:rPr>
        <w:t> </w:t>
      </w:r>
      <w:r>
        <w:rPr>
          <w:sz w:val="28"/>
        </w:rPr>
        <w:t>dụng</w:t>
      </w:r>
      <w:r>
        <w:rPr>
          <w:spacing w:val="-2"/>
          <w:sz w:val="28"/>
        </w:rPr>
        <w:t> </w:t>
      </w:r>
      <w:r>
        <w:rPr>
          <w:sz w:val="28"/>
        </w:rPr>
        <w:t>khoản</w:t>
      </w:r>
      <w:r>
        <w:rPr>
          <w:spacing w:val="-2"/>
          <w:sz w:val="28"/>
        </w:rPr>
        <w:t> </w:t>
      </w:r>
      <w:r>
        <w:rPr>
          <w:sz w:val="28"/>
        </w:rPr>
        <w:t>2</w:t>
      </w:r>
      <w:r>
        <w:rPr>
          <w:spacing w:val="-2"/>
          <w:sz w:val="28"/>
        </w:rPr>
        <w:t> </w:t>
      </w:r>
      <w:r>
        <w:rPr>
          <w:sz w:val="28"/>
        </w:rPr>
        <w:t>Điều</w:t>
      </w:r>
      <w:r>
        <w:rPr>
          <w:spacing w:val="-1"/>
          <w:sz w:val="28"/>
        </w:rPr>
        <w:t> </w:t>
      </w:r>
      <w:r>
        <w:rPr>
          <w:sz w:val="28"/>
        </w:rPr>
        <w:t>136</w:t>
      </w:r>
      <w:r>
        <w:rPr>
          <w:spacing w:val="-2"/>
          <w:sz w:val="28"/>
        </w:rPr>
        <w:t> </w:t>
      </w:r>
      <w:r>
        <w:rPr>
          <w:sz w:val="28"/>
        </w:rPr>
        <w:t>của</w:t>
      </w:r>
      <w:r>
        <w:rPr>
          <w:spacing w:val="-2"/>
          <w:sz w:val="28"/>
        </w:rPr>
        <w:t> </w:t>
      </w:r>
      <w:r>
        <w:rPr>
          <w:sz w:val="28"/>
        </w:rPr>
        <w:t>Bộ</w:t>
      </w:r>
      <w:r>
        <w:rPr>
          <w:spacing w:val="-3"/>
          <w:sz w:val="28"/>
        </w:rPr>
        <w:t> </w:t>
      </w:r>
      <w:r>
        <w:rPr>
          <w:sz w:val="28"/>
        </w:rPr>
        <w:t>luật</w:t>
      </w:r>
      <w:r>
        <w:rPr>
          <w:spacing w:val="-1"/>
          <w:sz w:val="28"/>
        </w:rPr>
        <w:t> </w:t>
      </w:r>
      <w:r>
        <w:rPr>
          <w:sz w:val="28"/>
        </w:rPr>
        <w:t>tố</w:t>
      </w:r>
      <w:r>
        <w:rPr>
          <w:spacing w:val="-3"/>
          <w:sz w:val="28"/>
        </w:rPr>
        <w:t> </w:t>
      </w:r>
      <w:r>
        <w:rPr>
          <w:sz w:val="28"/>
        </w:rPr>
        <w:t>tụng</w:t>
      </w:r>
      <w:r>
        <w:rPr>
          <w:spacing w:val="-1"/>
          <w:sz w:val="28"/>
        </w:rPr>
        <w:t> </w:t>
      </w:r>
      <w:r>
        <w:rPr>
          <w:sz w:val="28"/>
        </w:rPr>
        <w:t>hình</w:t>
      </w:r>
      <w:r>
        <w:rPr>
          <w:spacing w:val="-1"/>
          <w:sz w:val="28"/>
        </w:rPr>
        <w:t> </w:t>
      </w:r>
      <w:r>
        <w:rPr>
          <w:sz w:val="28"/>
        </w:rPr>
        <w:t>sự</w:t>
      </w:r>
      <w:r>
        <w:rPr>
          <w:spacing w:val="-4"/>
          <w:sz w:val="28"/>
        </w:rPr>
        <w:t> </w:t>
      </w:r>
      <w:r>
        <w:rPr>
          <w:sz w:val="28"/>
        </w:rPr>
        <w:t>và</w:t>
      </w:r>
      <w:r>
        <w:rPr>
          <w:spacing w:val="-2"/>
          <w:sz w:val="28"/>
        </w:rPr>
        <w:t> </w:t>
      </w:r>
      <w:r>
        <w:rPr>
          <w:sz w:val="28"/>
        </w:rPr>
        <w:t>điểm đ khoản 1 Điều 12, khoản 6 Điều 15 Nghị quyết số 326/2016/UBTVQH14 ngày 30/12/2016 của Ủy ban Thường vụ Quốc hội quy định về mức thu, miễn, giảm,</w:t>
      </w:r>
      <w:r>
        <w:rPr>
          <w:spacing w:val="40"/>
          <w:sz w:val="28"/>
        </w:rPr>
        <w:t> </w:t>
      </w:r>
      <w:r>
        <w:rPr>
          <w:sz w:val="28"/>
        </w:rPr>
        <w:t>thu, nộp, quản lý và sử dụng án phí và lệ phí Tòa án: Miễn án phí hình sự sơ thẩm cho bị cáo Giàng Thị M.</w:t>
      </w:r>
    </w:p>
    <w:p>
      <w:pPr>
        <w:pStyle w:val="ListParagraph"/>
        <w:numPr>
          <w:ilvl w:val="0"/>
          <w:numId w:val="3"/>
        </w:numPr>
        <w:tabs>
          <w:tab w:pos="1108" w:val="left" w:leader="none"/>
        </w:tabs>
        <w:spacing w:line="240" w:lineRule="auto" w:before="99" w:after="0"/>
        <w:ind w:left="102" w:right="105" w:firstLine="719"/>
        <w:jc w:val="both"/>
        <w:rPr>
          <w:sz w:val="28"/>
        </w:rPr>
      </w:pPr>
      <w:r>
        <w:rPr>
          <w:sz w:val="28"/>
        </w:rPr>
        <w:t>Về quyền kháng cáo: Áp dụng Điều 331,</w:t>
      </w:r>
      <w:r>
        <w:rPr>
          <w:spacing w:val="-1"/>
          <w:sz w:val="28"/>
        </w:rPr>
        <w:t> </w:t>
      </w:r>
      <w:r>
        <w:rPr>
          <w:sz w:val="28"/>
        </w:rPr>
        <w:t>khoản 1 Điều 333 của Bộ luật tố tụng hình</w:t>
      </w:r>
      <w:r>
        <w:rPr>
          <w:spacing w:val="-1"/>
          <w:sz w:val="28"/>
        </w:rPr>
        <w:t> </w:t>
      </w:r>
      <w:r>
        <w:rPr>
          <w:sz w:val="28"/>
        </w:rPr>
        <w:t>sự,</w:t>
      </w:r>
      <w:r>
        <w:rPr>
          <w:spacing w:val="-2"/>
          <w:sz w:val="28"/>
        </w:rPr>
        <w:t> </w:t>
      </w:r>
      <w:r>
        <w:rPr>
          <w:sz w:val="28"/>
        </w:rPr>
        <w:t>bị cáo Giàng Thị M</w:t>
      </w:r>
      <w:r>
        <w:rPr>
          <w:spacing w:val="-1"/>
          <w:sz w:val="28"/>
        </w:rPr>
        <w:t> </w:t>
      </w:r>
      <w:r>
        <w:rPr>
          <w:sz w:val="28"/>
        </w:rPr>
        <w:t>được</w:t>
      </w:r>
      <w:r>
        <w:rPr>
          <w:spacing w:val="-2"/>
          <w:sz w:val="28"/>
        </w:rPr>
        <w:t> </w:t>
      </w:r>
      <w:r>
        <w:rPr>
          <w:sz w:val="28"/>
        </w:rPr>
        <w:t>quyền kháng</w:t>
      </w:r>
      <w:r>
        <w:rPr>
          <w:spacing w:val="-2"/>
          <w:sz w:val="28"/>
        </w:rPr>
        <w:t> </w:t>
      </w:r>
      <w:r>
        <w:rPr>
          <w:sz w:val="28"/>
        </w:rPr>
        <w:t>cáo bản</w:t>
      </w:r>
      <w:r>
        <w:rPr>
          <w:spacing w:val="-1"/>
          <w:sz w:val="28"/>
        </w:rPr>
        <w:t> </w:t>
      </w:r>
      <w:r>
        <w:rPr>
          <w:sz w:val="28"/>
        </w:rPr>
        <w:t>án</w:t>
      </w:r>
      <w:r>
        <w:rPr>
          <w:spacing w:val="-3"/>
          <w:sz w:val="28"/>
        </w:rPr>
        <w:t> </w:t>
      </w:r>
      <w:r>
        <w:rPr>
          <w:sz w:val="28"/>
        </w:rPr>
        <w:t>trong</w:t>
      </w:r>
      <w:r>
        <w:rPr>
          <w:spacing w:val="-1"/>
          <w:sz w:val="28"/>
        </w:rPr>
        <w:t> </w:t>
      </w:r>
      <w:r>
        <w:rPr>
          <w:sz w:val="28"/>
        </w:rPr>
        <w:t>hạn</w:t>
      </w:r>
      <w:r>
        <w:rPr>
          <w:spacing w:val="-1"/>
          <w:sz w:val="28"/>
        </w:rPr>
        <w:t> </w:t>
      </w:r>
      <w:r>
        <w:rPr>
          <w:sz w:val="28"/>
        </w:rPr>
        <w:t>15</w:t>
      </w:r>
      <w:r>
        <w:rPr>
          <w:spacing w:val="-1"/>
          <w:sz w:val="28"/>
        </w:rPr>
        <w:t> </w:t>
      </w:r>
      <w:r>
        <w:rPr>
          <w:sz w:val="28"/>
        </w:rPr>
        <w:t>ngày, kể từ ngày tuyên án 29/11/2022./.</w:t>
      </w:r>
    </w:p>
    <w:p>
      <w:pPr>
        <w:pStyle w:val="BodyText"/>
        <w:spacing w:before="0"/>
        <w:ind w:left="0" w:firstLine="0"/>
        <w:jc w:val="left"/>
        <w:rPr>
          <w:sz w:val="20"/>
        </w:rPr>
      </w:pPr>
    </w:p>
    <w:p>
      <w:pPr>
        <w:pStyle w:val="BodyText"/>
        <w:spacing w:before="8"/>
        <w:ind w:left="0" w:firstLine="0"/>
        <w:jc w:val="left"/>
        <w:rPr>
          <w:sz w:val="26"/>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0"/>
        <w:gridCol w:w="5286"/>
      </w:tblGrid>
      <w:tr>
        <w:trPr>
          <w:trHeight w:val="3574" w:hRule="atLeast"/>
        </w:trPr>
        <w:tc>
          <w:tcPr>
            <w:tcW w:w="382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N;</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90" w:val="left" w:leader="none"/>
              </w:tabs>
              <w:spacing w:line="275" w:lineRule="exact" w:before="0" w:after="0"/>
              <w:ind w:left="189" w:right="0" w:hanging="140"/>
              <w:jc w:val="left"/>
              <w:rPr>
                <w:sz w:val="24"/>
              </w:rPr>
            </w:pPr>
            <w:r>
              <w:rPr>
                <w:sz w:val="22"/>
              </w:rPr>
              <w:t>Phòng</w:t>
            </w:r>
            <w:r>
              <w:rPr>
                <w:spacing w:val="-6"/>
                <w:sz w:val="22"/>
              </w:rPr>
              <w:t> </w:t>
            </w:r>
            <w:r>
              <w:rPr>
                <w:sz w:val="22"/>
              </w:rPr>
              <w:t>KTNV&amp;THA</w:t>
            </w:r>
            <w:r>
              <w:rPr>
                <w:spacing w:val="-2"/>
                <w:sz w:val="22"/>
              </w:rPr>
              <w:t> </w:t>
            </w:r>
            <w:r>
              <w:rPr>
                <w:sz w:val="22"/>
              </w:rPr>
              <w:t>–</w:t>
            </w:r>
            <w:r>
              <w:rPr>
                <w:spacing w:val="-3"/>
                <w:sz w:val="22"/>
              </w:rPr>
              <w:t> </w:t>
            </w:r>
            <w:r>
              <w:rPr>
                <w:sz w:val="22"/>
              </w:rPr>
              <w:t>TAND</w:t>
            </w:r>
            <w:r>
              <w:rPr>
                <w:spacing w:val="-3"/>
                <w:sz w:val="22"/>
              </w:rPr>
              <w:t> </w:t>
            </w:r>
            <w:r>
              <w:rPr>
                <w:spacing w:val="-2"/>
                <w:sz w:val="22"/>
              </w:rPr>
              <w:t>tỉnh;</w:t>
            </w:r>
          </w:p>
          <w:p>
            <w:pPr>
              <w:pStyle w:val="TableParagraph"/>
              <w:numPr>
                <w:ilvl w:val="0"/>
                <w:numId w:val="4"/>
              </w:numPr>
              <w:tabs>
                <w:tab w:pos="178" w:val="left" w:leader="none"/>
              </w:tabs>
              <w:spacing w:line="240" w:lineRule="auto" w:before="2"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Bộ</w:t>
            </w:r>
            <w:r>
              <w:rPr>
                <w:spacing w:val="-2"/>
                <w:sz w:val="22"/>
              </w:rPr>
              <w:t> </w:t>
            </w:r>
            <w:r>
              <w:rPr>
                <w:sz w:val="22"/>
              </w:rPr>
              <w:t>phận</w:t>
            </w:r>
            <w:r>
              <w:rPr>
                <w:spacing w:val="-2"/>
                <w:sz w:val="22"/>
              </w:rPr>
              <w:t> </w:t>
            </w:r>
            <w:r>
              <w:rPr>
                <w:sz w:val="22"/>
              </w:rPr>
              <w:t>HSNV</w:t>
            </w:r>
            <w:r>
              <w:rPr>
                <w:spacing w:val="-1"/>
                <w:sz w:val="22"/>
              </w:rPr>
              <w:t> </w:t>
            </w:r>
            <w:r>
              <w:rPr>
                <w:sz w:val="22"/>
              </w:rPr>
              <w:t>Công</w:t>
            </w:r>
            <w:r>
              <w:rPr>
                <w:spacing w:val="-4"/>
                <w:sz w:val="22"/>
              </w:rPr>
              <w:t> </w:t>
            </w:r>
            <w:r>
              <w:rPr>
                <w:sz w:val="22"/>
              </w:rPr>
              <w:t>an</w:t>
            </w:r>
            <w:r>
              <w:rPr>
                <w:spacing w:val="-4"/>
                <w:sz w:val="22"/>
              </w:rPr>
              <w:t> </w:t>
            </w:r>
            <w:r>
              <w:rPr>
                <w:sz w:val="22"/>
              </w:rPr>
              <w:t>huyện </w:t>
            </w:r>
            <w:r>
              <w:rPr>
                <w:spacing w:val="-5"/>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2"/>
                <w:sz w:val="22"/>
              </w:rPr>
              <w:t> </w:t>
            </w:r>
            <w:r>
              <w:rPr>
                <w:sz w:val="22"/>
              </w:rPr>
              <w:t>CSĐT</w:t>
            </w:r>
            <w:r>
              <w:rPr>
                <w:spacing w:val="-1"/>
                <w:sz w:val="22"/>
              </w:rPr>
              <w:t> </w:t>
            </w:r>
            <w:r>
              <w:rPr>
                <w:sz w:val="22"/>
              </w:rPr>
              <w:t>CA</w:t>
            </w:r>
            <w:r>
              <w:rPr>
                <w:spacing w:val="-2"/>
                <w:sz w:val="22"/>
              </w:rPr>
              <w:t> </w:t>
            </w:r>
            <w:r>
              <w:rPr>
                <w:sz w:val="22"/>
              </w:rPr>
              <w:t>huyện</w:t>
            </w:r>
            <w:r>
              <w:rPr>
                <w:spacing w:val="-1"/>
                <w:sz w:val="22"/>
              </w:rPr>
              <w:t> </w:t>
            </w:r>
            <w:r>
              <w:rPr>
                <w:spacing w:val="-5"/>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5"/>
                <w:sz w:val="22"/>
              </w:rPr>
              <w:t> </w:t>
            </w:r>
            <w:r>
              <w:rPr>
                <w:sz w:val="22"/>
              </w:rPr>
              <w:t>quan</w:t>
            </w:r>
            <w:r>
              <w:rPr>
                <w:spacing w:val="-3"/>
                <w:sz w:val="22"/>
              </w:rPr>
              <w:t> </w:t>
            </w:r>
            <w:r>
              <w:rPr>
                <w:sz w:val="22"/>
              </w:rPr>
              <w:t>THAHS</w:t>
            </w:r>
            <w:r>
              <w:rPr>
                <w:spacing w:val="-2"/>
                <w:sz w:val="22"/>
              </w:rPr>
              <w:t> </w:t>
            </w:r>
            <w:r>
              <w:rPr>
                <w:sz w:val="22"/>
              </w:rPr>
              <w:t>CA</w:t>
            </w:r>
            <w:r>
              <w:rPr>
                <w:spacing w:val="-2"/>
                <w:sz w:val="22"/>
              </w:rPr>
              <w:t> </w:t>
            </w:r>
            <w:r>
              <w:rPr>
                <w:spacing w:val="-5"/>
                <w:sz w:val="22"/>
              </w:rPr>
              <w:t>N;</w:t>
            </w:r>
          </w:p>
          <w:p>
            <w:pPr>
              <w:pStyle w:val="TableParagraph"/>
              <w:numPr>
                <w:ilvl w:val="0"/>
                <w:numId w:val="4"/>
              </w:numPr>
              <w:tabs>
                <w:tab w:pos="178" w:val="left" w:leader="none"/>
              </w:tabs>
              <w:spacing w:line="252" w:lineRule="exact" w:before="2" w:after="0"/>
              <w:ind w:left="177" w:right="0" w:hanging="128"/>
              <w:jc w:val="left"/>
              <w:rPr>
                <w:sz w:val="22"/>
              </w:rPr>
            </w:pPr>
            <w:r>
              <w:rPr>
                <w:sz w:val="22"/>
              </w:rPr>
              <w:t>Nhà</w:t>
            </w:r>
            <w:r>
              <w:rPr>
                <w:spacing w:val="-2"/>
                <w:sz w:val="22"/>
              </w:rPr>
              <w:t> </w:t>
            </w:r>
            <w:r>
              <w:rPr>
                <w:sz w:val="22"/>
              </w:rPr>
              <w:t>tạm</w:t>
            </w:r>
            <w:r>
              <w:rPr>
                <w:spacing w:val="-5"/>
                <w:sz w:val="22"/>
              </w:rPr>
              <w:t> </w:t>
            </w:r>
            <w:r>
              <w:rPr>
                <w:sz w:val="22"/>
              </w:rPr>
              <w:t>giữ</w:t>
            </w:r>
            <w:r>
              <w:rPr>
                <w:spacing w:val="-2"/>
                <w:sz w:val="22"/>
              </w:rPr>
              <w:t> </w:t>
            </w:r>
            <w:r>
              <w:rPr>
                <w:sz w:val="22"/>
              </w:rPr>
              <w:t>CA</w:t>
            </w:r>
            <w:r>
              <w:rPr>
                <w:spacing w:val="-3"/>
                <w:sz w:val="22"/>
              </w:rPr>
              <w:t> </w:t>
            </w:r>
            <w:r>
              <w:rPr>
                <w:sz w:val="22"/>
              </w:rPr>
              <w:t>huyện </w:t>
            </w:r>
            <w:r>
              <w:rPr>
                <w:spacing w:val="-10"/>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1"/>
                <w:sz w:val="22"/>
              </w:rPr>
              <w:t> </w:t>
            </w:r>
            <w:r>
              <w:rPr>
                <w:spacing w:val="-5"/>
                <w:sz w:val="22"/>
              </w:rPr>
              <w:t>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CA</w:t>
            </w:r>
            <w:r>
              <w:rPr>
                <w:spacing w:val="-3"/>
                <w:sz w:val="22"/>
              </w:rPr>
              <w:t> </w:t>
            </w:r>
            <w:r>
              <w:rPr>
                <w:sz w:val="22"/>
              </w:rPr>
              <w:t>tỉnh</w:t>
            </w:r>
            <w:r>
              <w:rPr>
                <w:spacing w:val="-4"/>
                <w:sz w:val="22"/>
              </w:rPr>
              <w:t> </w:t>
            </w:r>
            <w:r>
              <w:rPr>
                <w:sz w:val="22"/>
              </w:rPr>
              <w:t>Điện</w:t>
            </w:r>
            <w:r>
              <w:rPr>
                <w:spacing w:val="-1"/>
                <w:sz w:val="22"/>
              </w:rPr>
              <w:t> </w:t>
            </w:r>
            <w:r>
              <w:rPr>
                <w:spacing w:val="-2"/>
                <w:sz w:val="22"/>
              </w:rPr>
              <w:t>Biên;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2"/>
                <w:sz w:val="22"/>
              </w:rPr>
              <w:t> </w:t>
            </w:r>
            <w:r>
              <w:rPr>
                <w:sz w:val="22"/>
              </w:rPr>
              <w:t>pháp</w:t>
            </w:r>
            <w:r>
              <w:rPr>
                <w:spacing w:val="-2"/>
                <w:sz w:val="22"/>
              </w:rPr>
              <w:t> </w:t>
            </w:r>
            <w:r>
              <w:rPr>
                <w:sz w:val="22"/>
              </w:rPr>
              <w:t>tỉnh</w:t>
            </w:r>
            <w:r>
              <w:rPr>
                <w:spacing w:val="-1"/>
                <w:sz w:val="22"/>
              </w:rPr>
              <w:t> </w:t>
            </w:r>
            <w:r>
              <w:rPr>
                <w:sz w:val="22"/>
              </w:rPr>
              <w:t>Điện</w:t>
            </w:r>
            <w:r>
              <w:rPr>
                <w:spacing w:val="-1"/>
                <w:sz w:val="22"/>
              </w:rPr>
              <w:t> </w:t>
            </w:r>
            <w:r>
              <w:rPr>
                <w:spacing w:val="-2"/>
                <w:sz w:val="22"/>
              </w:rPr>
              <w:t>Biên;</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 VA,</w:t>
            </w:r>
            <w:r>
              <w:rPr>
                <w:spacing w:val="-1"/>
                <w:sz w:val="22"/>
              </w:rPr>
              <w:t> </w:t>
            </w:r>
            <w:r>
              <w:rPr>
                <w:spacing w:val="-2"/>
                <w:sz w:val="22"/>
              </w:rPr>
              <w:t>THAHS.</w:t>
            </w:r>
          </w:p>
        </w:tc>
        <w:tc>
          <w:tcPr>
            <w:tcW w:w="5286" w:type="dxa"/>
          </w:tcPr>
          <w:p>
            <w:pPr>
              <w:pStyle w:val="TableParagraph"/>
              <w:ind w:left="332"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97"/>
              <w:ind w:left="1933"/>
              <w:rPr>
                <w:b/>
                <w:sz w:val="28"/>
              </w:rPr>
            </w:pPr>
            <w:r>
              <w:rPr>
                <w:b/>
                <w:sz w:val="28"/>
              </w:rPr>
              <w:t>Phạm</w:t>
            </w:r>
            <w:r>
              <w:rPr>
                <w:b/>
                <w:spacing w:val="-6"/>
                <w:sz w:val="28"/>
              </w:rPr>
              <w:t> </w:t>
            </w:r>
            <w:r>
              <w:rPr>
                <w:b/>
                <w:sz w:val="28"/>
              </w:rPr>
              <w:t>Thị</w:t>
            </w:r>
            <w:r>
              <w:rPr>
                <w:b/>
                <w:spacing w:val="-1"/>
                <w:sz w:val="28"/>
              </w:rPr>
              <w:t> </w:t>
            </w:r>
            <w:r>
              <w:rPr>
                <w:b/>
                <w:spacing w:val="-5"/>
                <w:sz w:val="28"/>
              </w:rPr>
              <w:t>Sao</w:t>
            </w:r>
          </w:p>
        </w:tc>
      </w:tr>
    </w:tbl>
    <w:p>
      <w:pPr>
        <w:spacing w:after="0"/>
        <w:rPr>
          <w:sz w:val="28"/>
        </w:rPr>
        <w:sectPr>
          <w:pgSz w:w="11910" w:h="16850"/>
          <w:pgMar w:header="0" w:footer="791" w:top="1060" w:bottom="980" w:left="1600" w:right="740"/>
        </w:sectPr>
      </w:pPr>
    </w:p>
    <w:p>
      <w:pPr>
        <w:pStyle w:val="BodyText"/>
        <w:spacing w:before="4"/>
        <w:ind w:left="0" w:firstLine="0"/>
        <w:jc w:val="left"/>
        <w:rPr>
          <w:sz w:val="17"/>
        </w:rPr>
      </w:pPr>
    </w:p>
    <w:sectPr>
      <w:pgSz w:w="11910" w:h="16850"/>
      <w:pgMar w:header="0" w:footer="791" w:top="1940" w:bottom="9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91.466614pt;width:13pt;height:15.3pt;mso-position-horizontal-relative:page;mso-position-vertical-relative:page;z-index:-1580697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4" w:hanging="128"/>
      </w:pPr>
      <w:rPr>
        <w:rFonts w:hint="default"/>
        <w:lang w:val="vi" w:eastAsia="en-US" w:bidi="ar-SA"/>
      </w:rPr>
    </w:lvl>
    <w:lvl w:ilvl="2">
      <w:start w:val="0"/>
      <w:numFmt w:val="bullet"/>
      <w:lvlText w:val="•"/>
      <w:lvlJc w:val="left"/>
      <w:pPr>
        <w:ind w:left="908" w:hanging="128"/>
      </w:pPr>
      <w:rPr>
        <w:rFonts w:hint="default"/>
        <w:lang w:val="vi" w:eastAsia="en-US" w:bidi="ar-SA"/>
      </w:rPr>
    </w:lvl>
    <w:lvl w:ilvl="3">
      <w:start w:val="0"/>
      <w:numFmt w:val="bullet"/>
      <w:lvlText w:val="•"/>
      <w:lvlJc w:val="left"/>
      <w:pPr>
        <w:ind w:left="1272" w:hanging="128"/>
      </w:pPr>
      <w:rPr>
        <w:rFonts w:hint="default"/>
        <w:lang w:val="vi" w:eastAsia="en-US" w:bidi="ar-SA"/>
      </w:rPr>
    </w:lvl>
    <w:lvl w:ilvl="4">
      <w:start w:val="0"/>
      <w:numFmt w:val="bullet"/>
      <w:lvlText w:val="•"/>
      <w:lvlJc w:val="left"/>
      <w:pPr>
        <w:ind w:left="1636" w:hanging="128"/>
      </w:pPr>
      <w:rPr>
        <w:rFonts w:hint="default"/>
        <w:lang w:val="vi" w:eastAsia="en-US" w:bidi="ar-SA"/>
      </w:rPr>
    </w:lvl>
    <w:lvl w:ilvl="5">
      <w:start w:val="0"/>
      <w:numFmt w:val="bullet"/>
      <w:lvlText w:val="•"/>
      <w:lvlJc w:val="left"/>
      <w:pPr>
        <w:ind w:left="2000" w:hanging="128"/>
      </w:pPr>
      <w:rPr>
        <w:rFonts w:hint="default"/>
        <w:lang w:val="vi" w:eastAsia="en-US" w:bidi="ar-SA"/>
      </w:rPr>
    </w:lvl>
    <w:lvl w:ilvl="6">
      <w:start w:val="0"/>
      <w:numFmt w:val="bullet"/>
      <w:lvlText w:val="•"/>
      <w:lvlJc w:val="left"/>
      <w:pPr>
        <w:ind w:left="2364" w:hanging="128"/>
      </w:pPr>
      <w:rPr>
        <w:rFonts w:hint="default"/>
        <w:lang w:val="vi" w:eastAsia="en-US" w:bidi="ar-SA"/>
      </w:rPr>
    </w:lvl>
    <w:lvl w:ilvl="7">
      <w:start w:val="0"/>
      <w:numFmt w:val="bullet"/>
      <w:lvlText w:val="•"/>
      <w:lvlJc w:val="left"/>
      <w:pPr>
        <w:ind w:left="2728" w:hanging="128"/>
      </w:pPr>
      <w:rPr>
        <w:rFonts w:hint="default"/>
        <w:lang w:val="vi" w:eastAsia="en-US" w:bidi="ar-SA"/>
      </w:rPr>
    </w:lvl>
    <w:lvl w:ilvl="8">
      <w:start w:val="0"/>
      <w:numFmt w:val="bullet"/>
      <w:lvlText w:val="•"/>
      <w:lvlJc w:val="left"/>
      <w:pPr>
        <w:ind w:left="3092" w:hanging="128"/>
      </w:pPr>
      <w:rPr>
        <w:rFonts w:hint="default"/>
        <w:lang w:val="vi" w:eastAsia="en-US" w:bidi="ar-SA"/>
      </w:rPr>
    </w:lvl>
  </w:abstractNum>
  <w:abstractNum w:abstractNumId="2">
    <w:multiLevelType w:val="hybridMultilevel"/>
    <w:lvl w:ilvl="0">
      <w:start w:val="1"/>
      <w:numFmt w:val="decimal"/>
      <w:lvlText w:val="%1."/>
      <w:lvlJc w:val="left"/>
      <w:pPr>
        <w:ind w:left="10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6" w:hanging="308"/>
      </w:pPr>
      <w:rPr>
        <w:rFonts w:hint="default"/>
        <w:lang w:val="vi" w:eastAsia="en-US" w:bidi="ar-SA"/>
      </w:rPr>
    </w:lvl>
    <w:lvl w:ilvl="2">
      <w:start w:val="0"/>
      <w:numFmt w:val="bullet"/>
      <w:lvlText w:val="•"/>
      <w:lvlJc w:val="left"/>
      <w:pPr>
        <w:ind w:left="1993" w:hanging="308"/>
      </w:pPr>
      <w:rPr>
        <w:rFonts w:hint="default"/>
        <w:lang w:val="vi" w:eastAsia="en-US" w:bidi="ar-SA"/>
      </w:rPr>
    </w:lvl>
    <w:lvl w:ilvl="3">
      <w:start w:val="0"/>
      <w:numFmt w:val="bullet"/>
      <w:lvlText w:val="•"/>
      <w:lvlJc w:val="left"/>
      <w:pPr>
        <w:ind w:left="2939" w:hanging="308"/>
      </w:pPr>
      <w:rPr>
        <w:rFonts w:hint="default"/>
        <w:lang w:val="vi" w:eastAsia="en-US" w:bidi="ar-SA"/>
      </w:rPr>
    </w:lvl>
    <w:lvl w:ilvl="4">
      <w:start w:val="0"/>
      <w:numFmt w:val="bullet"/>
      <w:lvlText w:val="•"/>
      <w:lvlJc w:val="left"/>
      <w:pPr>
        <w:ind w:left="3886" w:hanging="308"/>
      </w:pPr>
      <w:rPr>
        <w:rFonts w:hint="default"/>
        <w:lang w:val="vi" w:eastAsia="en-US" w:bidi="ar-SA"/>
      </w:rPr>
    </w:lvl>
    <w:lvl w:ilvl="5">
      <w:start w:val="0"/>
      <w:numFmt w:val="bullet"/>
      <w:lvlText w:val="•"/>
      <w:lvlJc w:val="left"/>
      <w:pPr>
        <w:ind w:left="4833" w:hanging="308"/>
      </w:pPr>
      <w:rPr>
        <w:rFonts w:hint="default"/>
        <w:lang w:val="vi" w:eastAsia="en-US" w:bidi="ar-SA"/>
      </w:rPr>
    </w:lvl>
    <w:lvl w:ilvl="6">
      <w:start w:val="0"/>
      <w:numFmt w:val="bullet"/>
      <w:lvlText w:val="•"/>
      <w:lvlJc w:val="left"/>
      <w:pPr>
        <w:ind w:left="5779" w:hanging="308"/>
      </w:pPr>
      <w:rPr>
        <w:rFonts w:hint="default"/>
        <w:lang w:val="vi" w:eastAsia="en-US" w:bidi="ar-SA"/>
      </w:rPr>
    </w:lvl>
    <w:lvl w:ilvl="7">
      <w:start w:val="0"/>
      <w:numFmt w:val="bullet"/>
      <w:lvlText w:val="•"/>
      <w:lvlJc w:val="left"/>
      <w:pPr>
        <w:ind w:left="6726" w:hanging="308"/>
      </w:pPr>
      <w:rPr>
        <w:rFonts w:hint="default"/>
        <w:lang w:val="vi" w:eastAsia="en-US" w:bidi="ar-SA"/>
      </w:rPr>
    </w:lvl>
    <w:lvl w:ilvl="8">
      <w:start w:val="0"/>
      <w:numFmt w:val="bullet"/>
      <w:lvlText w:val="•"/>
      <w:lvlJc w:val="left"/>
      <w:pPr>
        <w:ind w:left="7673" w:hanging="308"/>
      </w:pPr>
      <w:rPr>
        <w:rFonts w:hint="default"/>
        <w:lang w:val="vi" w:eastAsia="en-US" w:bidi="ar-SA"/>
      </w:rPr>
    </w:lvl>
  </w:abstractNum>
  <w:abstractNum w:abstractNumId="1">
    <w:multiLevelType w:val="hybridMultilevel"/>
    <w:lvl w:ilvl="0">
      <w:start w:val="1"/>
      <w:numFmt w:val="decimal"/>
      <w:lvlText w:val="[%1]"/>
      <w:lvlJc w:val="left"/>
      <w:pPr>
        <w:ind w:left="10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06"/>
      </w:pPr>
      <w:rPr>
        <w:rFonts w:hint="default"/>
        <w:lang w:val="vi" w:eastAsia="en-US" w:bidi="ar-SA"/>
      </w:rPr>
    </w:lvl>
    <w:lvl w:ilvl="2">
      <w:start w:val="0"/>
      <w:numFmt w:val="bullet"/>
      <w:lvlText w:val="•"/>
      <w:lvlJc w:val="left"/>
      <w:pPr>
        <w:ind w:left="1993" w:hanging="406"/>
      </w:pPr>
      <w:rPr>
        <w:rFonts w:hint="default"/>
        <w:lang w:val="vi" w:eastAsia="en-US" w:bidi="ar-SA"/>
      </w:rPr>
    </w:lvl>
    <w:lvl w:ilvl="3">
      <w:start w:val="0"/>
      <w:numFmt w:val="bullet"/>
      <w:lvlText w:val="•"/>
      <w:lvlJc w:val="left"/>
      <w:pPr>
        <w:ind w:left="2939" w:hanging="406"/>
      </w:pPr>
      <w:rPr>
        <w:rFonts w:hint="default"/>
        <w:lang w:val="vi" w:eastAsia="en-US" w:bidi="ar-SA"/>
      </w:rPr>
    </w:lvl>
    <w:lvl w:ilvl="4">
      <w:start w:val="0"/>
      <w:numFmt w:val="bullet"/>
      <w:lvlText w:val="•"/>
      <w:lvlJc w:val="left"/>
      <w:pPr>
        <w:ind w:left="3886" w:hanging="406"/>
      </w:pPr>
      <w:rPr>
        <w:rFonts w:hint="default"/>
        <w:lang w:val="vi" w:eastAsia="en-US" w:bidi="ar-SA"/>
      </w:rPr>
    </w:lvl>
    <w:lvl w:ilvl="5">
      <w:start w:val="0"/>
      <w:numFmt w:val="bullet"/>
      <w:lvlText w:val="•"/>
      <w:lvlJc w:val="left"/>
      <w:pPr>
        <w:ind w:left="4833" w:hanging="406"/>
      </w:pPr>
      <w:rPr>
        <w:rFonts w:hint="default"/>
        <w:lang w:val="vi" w:eastAsia="en-US" w:bidi="ar-SA"/>
      </w:rPr>
    </w:lvl>
    <w:lvl w:ilvl="6">
      <w:start w:val="0"/>
      <w:numFmt w:val="bullet"/>
      <w:lvlText w:val="•"/>
      <w:lvlJc w:val="left"/>
      <w:pPr>
        <w:ind w:left="5779" w:hanging="406"/>
      </w:pPr>
      <w:rPr>
        <w:rFonts w:hint="default"/>
        <w:lang w:val="vi" w:eastAsia="en-US" w:bidi="ar-SA"/>
      </w:rPr>
    </w:lvl>
    <w:lvl w:ilvl="7">
      <w:start w:val="0"/>
      <w:numFmt w:val="bullet"/>
      <w:lvlText w:val="•"/>
      <w:lvlJc w:val="left"/>
      <w:pPr>
        <w:ind w:left="6726" w:hanging="406"/>
      </w:pPr>
      <w:rPr>
        <w:rFonts w:hint="default"/>
        <w:lang w:val="vi" w:eastAsia="en-US" w:bidi="ar-SA"/>
      </w:rPr>
    </w:lvl>
    <w:lvl w:ilvl="8">
      <w:start w:val="0"/>
      <w:numFmt w:val="bullet"/>
      <w:lvlText w:val="•"/>
      <w:lvlJc w:val="left"/>
      <w:pPr>
        <w:ind w:left="7673" w:hanging="406"/>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40" w:hanging="164"/>
      </w:pPr>
      <w:rPr>
        <w:rFonts w:hint="default"/>
        <w:lang w:val="vi" w:eastAsia="en-US" w:bidi="ar-SA"/>
      </w:rPr>
    </w:lvl>
    <w:lvl w:ilvl="3">
      <w:start w:val="0"/>
      <w:numFmt w:val="bullet"/>
      <w:lvlText w:val="•"/>
      <w:lvlJc w:val="left"/>
      <w:pPr>
        <w:ind w:left="2981" w:hanging="164"/>
      </w:pPr>
      <w:rPr>
        <w:rFonts w:hint="default"/>
        <w:lang w:val="vi" w:eastAsia="en-US" w:bidi="ar-SA"/>
      </w:rPr>
    </w:lvl>
    <w:lvl w:ilvl="4">
      <w:start w:val="0"/>
      <w:numFmt w:val="bullet"/>
      <w:lvlText w:val="•"/>
      <w:lvlJc w:val="left"/>
      <w:pPr>
        <w:ind w:left="3922" w:hanging="164"/>
      </w:pPr>
      <w:rPr>
        <w:rFonts w:hint="default"/>
        <w:lang w:val="vi" w:eastAsia="en-US" w:bidi="ar-SA"/>
      </w:rPr>
    </w:lvl>
    <w:lvl w:ilvl="5">
      <w:start w:val="0"/>
      <w:numFmt w:val="bullet"/>
      <w:lvlText w:val="•"/>
      <w:lvlJc w:val="left"/>
      <w:pPr>
        <w:ind w:left="4862" w:hanging="164"/>
      </w:pPr>
      <w:rPr>
        <w:rFonts w:hint="default"/>
        <w:lang w:val="vi" w:eastAsia="en-US" w:bidi="ar-SA"/>
      </w:rPr>
    </w:lvl>
    <w:lvl w:ilvl="6">
      <w:start w:val="0"/>
      <w:numFmt w:val="bullet"/>
      <w:lvlText w:val="•"/>
      <w:lvlJc w:val="left"/>
      <w:pPr>
        <w:ind w:left="5803" w:hanging="164"/>
      </w:pPr>
      <w:rPr>
        <w:rFonts w:hint="default"/>
        <w:lang w:val="vi" w:eastAsia="en-US" w:bidi="ar-SA"/>
      </w:rPr>
    </w:lvl>
    <w:lvl w:ilvl="7">
      <w:start w:val="0"/>
      <w:numFmt w:val="bullet"/>
      <w:lvlText w:val="•"/>
      <w:lvlJc w:val="left"/>
      <w:pPr>
        <w:ind w:left="6744" w:hanging="164"/>
      </w:pPr>
      <w:rPr>
        <w:rFonts w:hint="default"/>
        <w:lang w:val="vi" w:eastAsia="en-US" w:bidi="ar-SA"/>
      </w:rPr>
    </w:lvl>
    <w:lvl w:ilvl="8">
      <w:start w:val="0"/>
      <w:numFmt w:val="bullet"/>
      <w:lvlText w:val="•"/>
      <w:lvlJc w:val="left"/>
      <w:pPr>
        <w:ind w:left="7684"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01"/>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02"/>
      <w:ind w:left="102" w:right="1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TÒA ÁN NHÂN DÂN</dc:title>
  <dcterms:created xsi:type="dcterms:W3CDTF">2023-04-24T23:30:09Z</dcterms:created>
  <dcterms:modified xsi:type="dcterms:W3CDTF">2023-04-24T23:30:09Z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