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975"/>
      </w:tblGrid>
      <w:tr>
        <w:trPr>
          <w:trHeight w:val="1247" w:hRule="atLeast"/>
        </w:trPr>
        <w:tc>
          <w:tcPr>
            <w:tcW w:w="3318" w:type="dxa"/>
          </w:tcPr>
          <w:p>
            <w:pPr>
              <w:pStyle w:val="TableParagraph"/>
              <w:ind w:left="41" w:right="49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HÀM YÊN</w:t>
            </w:r>
          </w:p>
          <w:p>
            <w:pPr>
              <w:pStyle w:val="TableParagraph"/>
              <w:spacing w:line="296" w:lineRule="exact"/>
              <w:ind w:left="39" w:right="498"/>
              <w:jc w:val="center"/>
              <w:rPr>
                <w:b/>
                <w:sz w:val="26"/>
              </w:rPr>
            </w:pPr>
            <w:r>
              <w:rPr>
                <w:b/>
                <w:sz w:val="26"/>
              </w:rPr>
              <w:t>TỈNH</w:t>
            </w:r>
            <w:r>
              <w:rPr>
                <w:b/>
                <w:spacing w:val="-10"/>
                <w:sz w:val="26"/>
              </w:rPr>
              <w:t> </w:t>
            </w:r>
            <w:r>
              <w:rPr>
                <w:b/>
                <w:sz w:val="26"/>
              </w:rPr>
              <w:t>TUYÊN</w:t>
            </w:r>
            <w:r>
              <w:rPr>
                <w:b/>
                <w:spacing w:val="-7"/>
                <w:sz w:val="26"/>
              </w:rPr>
              <w:t> </w:t>
            </w:r>
            <w:r>
              <w:rPr>
                <w:b/>
                <w:spacing w:val="-2"/>
                <w:sz w:val="26"/>
              </w:rPr>
              <w:t>QUANG</w:t>
            </w:r>
          </w:p>
          <w:p>
            <w:pPr>
              <w:pStyle w:val="TableParagraph"/>
              <w:spacing w:line="319" w:lineRule="exact"/>
              <w:ind w:left="44" w:right="498"/>
              <w:jc w:val="center"/>
              <w:rPr>
                <w:sz w:val="28"/>
              </w:rPr>
            </w:pPr>
            <w:r>
              <w:rPr>
                <w:sz w:val="28"/>
              </w:rPr>
              <w:t>Số:</w:t>
            </w:r>
            <w:r>
              <w:rPr>
                <w:spacing w:val="-17"/>
                <w:sz w:val="28"/>
              </w:rPr>
              <w:t> </w:t>
            </w:r>
            <w:r>
              <w:rPr>
                <w:b/>
                <w:sz w:val="28"/>
              </w:rPr>
              <w:t>123</w:t>
            </w:r>
            <w:r>
              <w:rPr>
                <w:sz w:val="28"/>
              </w:rPr>
              <w:t>/2022/QĐST-</w:t>
            </w:r>
            <w:r>
              <w:rPr>
                <w:spacing w:val="-5"/>
                <w:sz w:val="28"/>
              </w:rPr>
              <w:t>DS</w:t>
            </w:r>
          </w:p>
        </w:tc>
        <w:tc>
          <w:tcPr>
            <w:tcW w:w="5975" w:type="dxa"/>
          </w:tcPr>
          <w:p>
            <w:pPr>
              <w:pStyle w:val="TableParagraph"/>
              <w:spacing w:line="287" w:lineRule="exact"/>
              <w:ind w:left="505"/>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0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45"/>
              <w:rPr>
                <w:sz w:val="2"/>
              </w:rPr>
            </w:pPr>
            <w:r>
              <w:rPr>
                <w:sz w:val="2"/>
              </w:rPr>
              <w:pict>
                <v:group style="width:144.75pt;height:1.4pt;mso-position-horizontal-relative:char;mso-position-vertical-relative:line" id="docshapegroup2" coordorigin="0,0" coordsize="2895,28">
                  <v:line style="position:absolute" from="8,8" to="2888,20" stroked="true" strokeweight=".75pt" strokecolor="#000000">
                    <v:stroke dashstyle="solid"/>
                  </v:line>
                </v:group>
              </w:pict>
            </w:r>
            <w:r>
              <w:rPr>
                <w:sz w:val="2"/>
              </w:rPr>
            </w:r>
          </w:p>
          <w:p>
            <w:pPr>
              <w:pStyle w:val="TableParagraph"/>
              <w:spacing w:before="8"/>
              <w:rPr>
                <w:sz w:val="25"/>
              </w:rPr>
            </w:pPr>
          </w:p>
          <w:p>
            <w:pPr>
              <w:pStyle w:val="TableParagraph"/>
              <w:spacing w:line="302" w:lineRule="exact"/>
              <w:ind w:left="1480"/>
              <w:rPr>
                <w:i/>
                <w:sz w:val="28"/>
              </w:rPr>
            </w:pPr>
            <w:r>
              <w:rPr>
                <w:i/>
                <w:sz w:val="28"/>
              </w:rPr>
              <w:t>Hàm</w:t>
            </w:r>
            <w:r>
              <w:rPr>
                <w:i/>
                <w:spacing w:val="-3"/>
                <w:sz w:val="28"/>
              </w:rPr>
              <w:t> </w:t>
            </w:r>
            <w:r>
              <w:rPr>
                <w:i/>
                <w:sz w:val="28"/>
              </w:rPr>
              <w:t>Yên,</w:t>
            </w:r>
            <w:r>
              <w:rPr>
                <w:i/>
                <w:spacing w:val="-3"/>
                <w:sz w:val="28"/>
              </w:rPr>
              <w:t> </w:t>
            </w:r>
            <w:r>
              <w:rPr>
                <w:i/>
                <w:sz w:val="28"/>
              </w:rPr>
              <w:t>ngày</w:t>
            </w:r>
            <w:r>
              <w:rPr>
                <w:i/>
                <w:spacing w:val="-2"/>
                <w:sz w:val="28"/>
              </w:rPr>
              <w:t> </w:t>
            </w:r>
            <w:r>
              <w:rPr>
                <w:i/>
                <w:sz w:val="28"/>
              </w:rPr>
              <w:t>30</w:t>
            </w:r>
            <w:r>
              <w:rPr>
                <w:i/>
                <w:spacing w:val="-4"/>
                <w:sz w:val="28"/>
              </w:rPr>
              <w:t> </w:t>
            </w:r>
            <w:r>
              <w:rPr>
                <w:i/>
                <w:sz w:val="28"/>
              </w:rPr>
              <w:t>tháng</w:t>
            </w:r>
            <w:r>
              <w:rPr>
                <w:i/>
                <w:spacing w:val="-5"/>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Heading1"/>
        <w:spacing w:line="322" w:lineRule="exact" w:before="89"/>
      </w:pPr>
      <w:r>
        <w:rPr/>
        <w:pict>
          <v:line style="position:absolute;mso-position-horizontal-relative:page;mso-position-vertical-relative:paragraph;z-index:-15774208" from="161.899994pt,-40.759693pt" to="185.899994pt,-40.759693pt" stroked="true" strokeweight=".75pt" strokecolor="#000000">
            <v:stroke dashstyle="solid"/>
            <w10:wrap type="none"/>
          </v:line>
        </w:pict>
      </w:r>
      <w:r>
        <w:rPr/>
        <w:t>QUYẾT</w:t>
      </w:r>
      <w:r>
        <w:rPr>
          <w:spacing w:val="-6"/>
        </w:rPr>
        <w:t> </w:t>
      </w:r>
      <w:r>
        <w:rPr>
          <w:spacing w:val="-4"/>
        </w:rPr>
        <w:t>ĐỊNH</w:t>
      </w:r>
    </w:p>
    <w:p>
      <w:pPr>
        <w:spacing w:before="0"/>
        <w:ind w:left="2287" w:right="243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54" w:lineRule="auto" w:before="11"/>
        <w:ind w:right="302"/>
      </w:pPr>
      <w:r>
        <w:rPr/>
        <w:t>Căn cứ vào các điều 48, 217, 218, 219 và khoản 2 Điều 273 của Bộ luật tố</w:t>
      </w:r>
      <w:r>
        <w:rPr>
          <w:spacing w:val="40"/>
        </w:rPr>
        <w:t> </w:t>
      </w:r>
      <w:r>
        <w:rPr/>
        <w:t>tụng dân sự; Sau khi nghiên cứu hồ sơ vụ án dân sự sơ thẩm;</w:t>
      </w:r>
    </w:p>
    <w:p>
      <w:pPr>
        <w:pStyle w:val="BodyText"/>
        <w:spacing w:line="252" w:lineRule="auto"/>
        <w:ind w:right="306"/>
      </w:pPr>
      <w:r>
        <w:rPr/>
        <w:t>Xét thấy: Người khởi kiện rút toàn bộ yêu cầu khởi kiện (thuộc trường hợp</w:t>
      </w:r>
      <w:r>
        <w:rPr>
          <w:spacing w:val="40"/>
        </w:rPr>
        <w:t> </w:t>
      </w:r>
      <w:r>
        <w:rPr/>
        <w:t>quy định tại điểm c khoản 1 Điều 217 của Bộ luật Tố tụng dân sự);</w:t>
      </w:r>
    </w:p>
    <w:p>
      <w:pPr>
        <w:pStyle w:val="Heading1"/>
        <w:spacing w:before="3"/>
        <w:ind w:left="4202" w:right="3781"/>
      </w:pPr>
      <w:r>
        <w:rPr/>
        <w:t>QUYẾT</w:t>
      </w:r>
      <w:r>
        <w:rPr>
          <w:spacing w:val="-4"/>
        </w:rPr>
        <w:t> </w:t>
      </w:r>
      <w:r>
        <w:rPr>
          <w:spacing w:val="-2"/>
        </w:rPr>
        <w:t>ĐỊNH:</w:t>
      </w:r>
    </w:p>
    <w:p>
      <w:pPr>
        <w:pStyle w:val="ListParagraph"/>
        <w:numPr>
          <w:ilvl w:val="0"/>
          <w:numId w:val="1"/>
        </w:numPr>
        <w:tabs>
          <w:tab w:pos="1117" w:val="left" w:leader="none"/>
        </w:tabs>
        <w:spacing w:line="252" w:lineRule="auto" w:before="19" w:after="0"/>
        <w:ind w:left="1113" w:right="419" w:hanging="264"/>
        <w:jc w:val="both"/>
        <w:rPr>
          <w:sz w:val="28"/>
        </w:rPr>
      </w:pPr>
      <w:r>
        <w:rPr>
          <w:spacing w:val="-2"/>
          <w:sz w:val="28"/>
        </w:rPr>
        <w:t>Đình</w:t>
      </w:r>
      <w:r>
        <w:rPr>
          <w:spacing w:val="-16"/>
          <w:sz w:val="28"/>
        </w:rPr>
        <w:t> </w:t>
      </w:r>
      <w:r>
        <w:rPr>
          <w:spacing w:val="-2"/>
          <w:sz w:val="28"/>
        </w:rPr>
        <w:t>chỉ</w:t>
      </w:r>
      <w:r>
        <w:rPr>
          <w:spacing w:val="-15"/>
          <w:sz w:val="28"/>
        </w:rPr>
        <w:t> </w:t>
      </w:r>
      <w:r>
        <w:rPr>
          <w:spacing w:val="-2"/>
          <w:sz w:val="28"/>
        </w:rPr>
        <w:t>giai</w:t>
      </w:r>
      <w:r>
        <w:rPr>
          <w:spacing w:val="-14"/>
          <w:sz w:val="28"/>
        </w:rPr>
        <w:t> </w:t>
      </w:r>
      <w:r>
        <w:rPr>
          <w:spacing w:val="-2"/>
          <w:sz w:val="28"/>
        </w:rPr>
        <w:t>quyết</w:t>
      </w:r>
      <w:r>
        <w:rPr>
          <w:spacing w:val="-12"/>
          <w:sz w:val="28"/>
        </w:rPr>
        <w:t> </w:t>
      </w:r>
      <w:r>
        <w:rPr>
          <w:spacing w:val="-2"/>
          <w:sz w:val="28"/>
        </w:rPr>
        <w:t>vụ</w:t>
      </w:r>
      <w:r>
        <w:rPr>
          <w:spacing w:val="-14"/>
          <w:sz w:val="28"/>
        </w:rPr>
        <w:t> </w:t>
      </w:r>
      <w:r>
        <w:rPr>
          <w:spacing w:val="-2"/>
          <w:sz w:val="28"/>
        </w:rPr>
        <w:t>án</w:t>
      </w:r>
      <w:r>
        <w:rPr>
          <w:spacing w:val="-14"/>
          <w:sz w:val="28"/>
        </w:rPr>
        <w:t> </w:t>
      </w:r>
      <w:r>
        <w:rPr>
          <w:spacing w:val="-2"/>
          <w:sz w:val="28"/>
        </w:rPr>
        <w:t>dân</w:t>
      </w:r>
      <w:r>
        <w:rPr>
          <w:spacing w:val="-14"/>
          <w:sz w:val="28"/>
        </w:rPr>
        <w:t> </w:t>
      </w:r>
      <w:r>
        <w:rPr>
          <w:spacing w:val="-2"/>
          <w:sz w:val="28"/>
        </w:rPr>
        <w:t>sự</w:t>
      </w:r>
      <w:r>
        <w:rPr>
          <w:spacing w:val="-16"/>
          <w:sz w:val="28"/>
        </w:rPr>
        <w:t> </w:t>
      </w:r>
      <w:r>
        <w:rPr>
          <w:spacing w:val="-2"/>
          <w:sz w:val="28"/>
        </w:rPr>
        <w:t>sơ</w:t>
      </w:r>
      <w:r>
        <w:rPr>
          <w:spacing w:val="-15"/>
          <w:sz w:val="28"/>
        </w:rPr>
        <w:t> </w:t>
      </w:r>
      <w:r>
        <w:rPr>
          <w:spacing w:val="-2"/>
          <w:sz w:val="28"/>
        </w:rPr>
        <w:t>thẩm</w:t>
      </w:r>
      <w:r>
        <w:rPr>
          <w:spacing w:val="-16"/>
          <w:sz w:val="28"/>
        </w:rPr>
        <w:t> </w:t>
      </w:r>
      <w:r>
        <w:rPr>
          <w:spacing w:val="-2"/>
          <w:sz w:val="28"/>
        </w:rPr>
        <w:t>thụ</w:t>
      </w:r>
      <w:r>
        <w:rPr>
          <w:spacing w:val="-14"/>
          <w:sz w:val="28"/>
        </w:rPr>
        <w:t> </w:t>
      </w:r>
      <w:r>
        <w:rPr>
          <w:spacing w:val="-2"/>
          <w:sz w:val="28"/>
        </w:rPr>
        <w:t>lý</w:t>
      </w:r>
      <w:r>
        <w:rPr>
          <w:spacing w:val="-14"/>
          <w:sz w:val="28"/>
        </w:rPr>
        <w:t> </w:t>
      </w:r>
      <w:r>
        <w:rPr>
          <w:spacing w:val="-2"/>
          <w:sz w:val="28"/>
        </w:rPr>
        <w:t>số</w:t>
      </w:r>
      <w:r>
        <w:rPr>
          <w:spacing w:val="-14"/>
          <w:sz w:val="28"/>
        </w:rPr>
        <w:t> </w:t>
      </w:r>
      <w:r>
        <w:rPr>
          <w:spacing w:val="-2"/>
          <w:sz w:val="28"/>
        </w:rPr>
        <w:t>119/2022/TLST-DS,</w:t>
      </w:r>
      <w:r>
        <w:rPr>
          <w:spacing w:val="-14"/>
          <w:sz w:val="28"/>
        </w:rPr>
        <w:t> </w:t>
      </w:r>
      <w:r>
        <w:rPr>
          <w:spacing w:val="-2"/>
          <w:sz w:val="28"/>
        </w:rPr>
        <w:t>ngày </w:t>
      </w:r>
      <w:r>
        <w:rPr>
          <w:sz w:val="28"/>
        </w:rPr>
        <w:t>10</w:t>
      </w:r>
      <w:r>
        <w:rPr>
          <w:spacing w:val="-9"/>
          <w:sz w:val="28"/>
        </w:rPr>
        <w:t> </w:t>
      </w:r>
      <w:r>
        <w:rPr>
          <w:sz w:val="28"/>
        </w:rPr>
        <w:t>tháng</w:t>
      </w:r>
      <w:r>
        <w:rPr>
          <w:spacing w:val="-9"/>
          <w:sz w:val="28"/>
        </w:rPr>
        <w:t> </w:t>
      </w:r>
      <w:r>
        <w:rPr>
          <w:sz w:val="28"/>
        </w:rPr>
        <w:t>11</w:t>
      </w:r>
      <w:r>
        <w:rPr>
          <w:spacing w:val="-9"/>
          <w:sz w:val="28"/>
        </w:rPr>
        <w:t> </w:t>
      </w:r>
      <w:r>
        <w:rPr>
          <w:sz w:val="28"/>
        </w:rPr>
        <w:t>năm</w:t>
      </w:r>
      <w:r>
        <w:rPr>
          <w:spacing w:val="-15"/>
          <w:sz w:val="28"/>
        </w:rPr>
        <w:t> </w:t>
      </w:r>
      <w:r>
        <w:rPr>
          <w:sz w:val="28"/>
        </w:rPr>
        <w:t>2022</w:t>
      </w:r>
      <w:r>
        <w:rPr>
          <w:spacing w:val="-9"/>
          <w:sz w:val="28"/>
        </w:rPr>
        <w:t> </w:t>
      </w:r>
      <w:r>
        <w:rPr>
          <w:sz w:val="28"/>
        </w:rPr>
        <w:t>về</w:t>
      </w:r>
      <w:r>
        <w:rPr>
          <w:spacing w:val="-10"/>
          <w:sz w:val="28"/>
        </w:rPr>
        <w:t> </w:t>
      </w:r>
      <w:r>
        <w:rPr>
          <w:sz w:val="28"/>
        </w:rPr>
        <w:t>việc</w:t>
      </w:r>
      <w:r>
        <w:rPr>
          <w:spacing w:val="-10"/>
          <w:sz w:val="28"/>
        </w:rPr>
        <w:t> </w:t>
      </w:r>
      <w:r>
        <w:rPr>
          <w:i/>
          <w:sz w:val="28"/>
        </w:rPr>
        <w:t>“Tranh</w:t>
      </w:r>
      <w:r>
        <w:rPr>
          <w:i/>
          <w:spacing w:val="-9"/>
          <w:sz w:val="28"/>
        </w:rPr>
        <w:t> </w:t>
      </w:r>
      <w:r>
        <w:rPr>
          <w:i/>
          <w:sz w:val="28"/>
        </w:rPr>
        <w:t>chấp</w:t>
      </w:r>
      <w:r>
        <w:rPr>
          <w:i/>
          <w:spacing w:val="-9"/>
          <w:sz w:val="28"/>
        </w:rPr>
        <w:t> </w:t>
      </w:r>
      <w:r>
        <w:rPr>
          <w:i/>
          <w:sz w:val="28"/>
        </w:rPr>
        <w:t>đòi</w:t>
      </w:r>
      <w:r>
        <w:rPr>
          <w:i/>
          <w:spacing w:val="-9"/>
          <w:sz w:val="28"/>
        </w:rPr>
        <w:t> </w:t>
      </w:r>
      <w:r>
        <w:rPr>
          <w:i/>
          <w:sz w:val="28"/>
        </w:rPr>
        <w:t>đất</w:t>
      </w:r>
      <w:r>
        <w:rPr>
          <w:i/>
          <w:spacing w:val="-9"/>
          <w:sz w:val="28"/>
        </w:rPr>
        <w:t> </w:t>
      </w:r>
      <w:r>
        <w:rPr>
          <w:i/>
          <w:sz w:val="28"/>
        </w:rPr>
        <w:t>lấn</w:t>
      </w:r>
      <w:r>
        <w:rPr>
          <w:i/>
          <w:spacing w:val="-9"/>
          <w:sz w:val="28"/>
        </w:rPr>
        <w:t> </w:t>
      </w:r>
      <w:r>
        <w:rPr>
          <w:i/>
          <w:sz w:val="28"/>
        </w:rPr>
        <w:t>chiếm”,</w:t>
      </w:r>
      <w:r>
        <w:rPr>
          <w:i/>
          <w:spacing w:val="-11"/>
          <w:sz w:val="28"/>
        </w:rPr>
        <w:t> </w:t>
      </w:r>
      <w:r>
        <w:rPr>
          <w:sz w:val="28"/>
        </w:rPr>
        <w:t>giữa:</w:t>
      </w:r>
    </w:p>
    <w:p>
      <w:pPr>
        <w:pStyle w:val="ListParagraph"/>
        <w:numPr>
          <w:ilvl w:val="0"/>
          <w:numId w:val="2"/>
        </w:numPr>
        <w:tabs>
          <w:tab w:pos="901" w:val="left" w:leader="none"/>
        </w:tabs>
        <w:spacing w:line="240" w:lineRule="auto" w:before="0" w:after="0"/>
        <w:ind w:left="151" w:right="295" w:firstLine="566"/>
        <w:jc w:val="both"/>
        <w:rPr>
          <w:sz w:val="28"/>
        </w:rPr>
      </w:pPr>
      <w:r>
        <w:rPr>
          <w:i/>
          <w:sz w:val="28"/>
        </w:rPr>
        <w:t>Nguyên đơn: </w:t>
      </w:r>
      <w:r>
        <w:rPr>
          <w:sz w:val="28"/>
        </w:rPr>
        <w:t>Công ty Lâm nghiệp T; địa chỉ: Thôn 20, xã Đ, huyện H, tỉnh Tuyên Quang.</w:t>
      </w:r>
    </w:p>
    <w:p>
      <w:pPr>
        <w:pStyle w:val="BodyText"/>
        <w:ind w:right="292"/>
      </w:pPr>
      <w:r>
        <w:rPr/>
        <w:t>Người đại diện theo pháp luật: Ông Nguyễn Văn P - Chức vụ: Phó giám đốc phụ trách.Người đại diện theo ủy quyền: Ông Phạm Minh T, chức vụ: Phó Phòng Kế hoạch kỹ thuật.</w:t>
      </w:r>
    </w:p>
    <w:p>
      <w:pPr>
        <w:pStyle w:val="ListParagraph"/>
        <w:numPr>
          <w:ilvl w:val="0"/>
          <w:numId w:val="2"/>
        </w:numPr>
        <w:tabs>
          <w:tab w:pos="882" w:val="left" w:leader="none"/>
        </w:tabs>
        <w:spacing w:line="240" w:lineRule="auto" w:before="0" w:after="0"/>
        <w:ind w:left="881" w:right="0" w:hanging="164"/>
        <w:jc w:val="both"/>
        <w:rPr>
          <w:sz w:val="28"/>
        </w:rPr>
      </w:pPr>
      <w:r>
        <w:rPr>
          <w:i/>
          <w:sz w:val="28"/>
        </w:rPr>
        <w:t>Bị</w:t>
      </w:r>
      <w:r>
        <w:rPr>
          <w:i/>
          <w:spacing w:val="-8"/>
          <w:sz w:val="28"/>
        </w:rPr>
        <w:t> </w:t>
      </w:r>
      <w:r>
        <w:rPr>
          <w:i/>
          <w:sz w:val="28"/>
        </w:rPr>
        <w:t>đơn:</w:t>
      </w:r>
      <w:r>
        <w:rPr>
          <w:i/>
          <w:spacing w:val="-6"/>
          <w:sz w:val="28"/>
        </w:rPr>
        <w:t> </w:t>
      </w:r>
      <w:r>
        <w:rPr>
          <w:sz w:val="28"/>
        </w:rPr>
        <w:t>Ông</w:t>
      </w:r>
      <w:r>
        <w:rPr>
          <w:spacing w:val="-5"/>
          <w:sz w:val="28"/>
        </w:rPr>
        <w:t> </w:t>
      </w:r>
      <w:r>
        <w:rPr>
          <w:sz w:val="28"/>
        </w:rPr>
        <w:t>Lý</w:t>
      </w:r>
      <w:r>
        <w:rPr>
          <w:spacing w:val="-6"/>
          <w:sz w:val="28"/>
        </w:rPr>
        <w:t> </w:t>
      </w:r>
      <w:r>
        <w:rPr>
          <w:sz w:val="28"/>
        </w:rPr>
        <w:t>Văn</w:t>
      </w:r>
      <w:r>
        <w:rPr>
          <w:spacing w:val="-5"/>
          <w:sz w:val="28"/>
        </w:rPr>
        <w:t> </w:t>
      </w:r>
      <w:r>
        <w:rPr>
          <w:sz w:val="28"/>
        </w:rPr>
        <w:t>T;</w:t>
      </w:r>
      <w:r>
        <w:rPr>
          <w:spacing w:val="-8"/>
          <w:sz w:val="28"/>
        </w:rPr>
        <w:t> </w:t>
      </w:r>
      <w:r>
        <w:rPr>
          <w:sz w:val="28"/>
        </w:rPr>
        <w:t>địa</w:t>
      </w:r>
      <w:r>
        <w:rPr>
          <w:spacing w:val="-12"/>
          <w:sz w:val="28"/>
        </w:rPr>
        <w:t> </w:t>
      </w:r>
      <w:r>
        <w:rPr>
          <w:sz w:val="28"/>
        </w:rPr>
        <w:t>chỉ:</w:t>
      </w:r>
      <w:r>
        <w:rPr>
          <w:spacing w:val="-10"/>
          <w:sz w:val="28"/>
        </w:rPr>
        <w:t> </w:t>
      </w:r>
      <w:r>
        <w:rPr>
          <w:sz w:val="28"/>
        </w:rPr>
        <w:t>Thôn</w:t>
      </w:r>
      <w:r>
        <w:rPr>
          <w:spacing w:val="-15"/>
          <w:sz w:val="28"/>
        </w:rPr>
        <w:t> </w:t>
      </w:r>
      <w:r>
        <w:rPr>
          <w:sz w:val="28"/>
        </w:rPr>
        <w:t>Đ,</w:t>
      </w:r>
      <w:r>
        <w:rPr>
          <w:spacing w:val="-11"/>
          <w:sz w:val="28"/>
        </w:rPr>
        <w:t> </w:t>
      </w:r>
      <w:r>
        <w:rPr>
          <w:sz w:val="28"/>
        </w:rPr>
        <w:t>xã</w:t>
      </w:r>
      <w:r>
        <w:rPr>
          <w:spacing w:val="-16"/>
          <w:sz w:val="28"/>
        </w:rPr>
        <w:t> </w:t>
      </w:r>
      <w:r>
        <w:rPr>
          <w:sz w:val="28"/>
        </w:rPr>
        <w:t>H,</w:t>
      </w:r>
      <w:r>
        <w:rPr>
          <w:spacing w:val="-14"/>
          <w:sz w:val="28"/>
        </w:rPr>
        <w:t> </w:t>
      </w:r>
      <w:r>
        <w:rPr>
          <w:sz w:val="28"/>
        </w:rPr>
        <w:t>huyện</w:t>
      </w:r>
      <w:r>
        <w:rPr>
          <w:spacing w:val="-13"/>
          <w:sz w:val="28"/>
        </w:rPr>
        <w:t> </w:t>
      </w:r>
      <w:r>
        <w:rPr>
          <w:sz w:val="28"/>
        </w:rPr>
        <w:t>H,</w:t>
      </w:r>
      <w:r>
        <w:rPr>
          <w:spacing w:val="-7"/>
          <w:sz w:val="28"/>
        </w:rPr>
        <w:t> </w:t>
      </w:r>
      <w:r>
        <w:rPr>
          <w:sz w:val="28"/>
        </w:rPr>
        <w:t>tỉnh</w:t>
      </w:r>
      <w:r>
        <w:rPr>
          <w:spacing w:val="-5"/>
          <w:sz w:val="28"/>
        </w:rPr>
        <w:t> </w:t>
      </w:r>
      <w:r>
        <w:rPr>
          <w:sz w:val="28"/>
        </w:rPr>
        <w:t>Tuyên</w:t>
      </w:r>
      <w:r>
        <w:rPr>
          <w:spacing w:val="-5"/>
          <w:sz w:val="28"/>
        </w:rPr>
        <w:t> </w:t>
      </w:r>
      <w:r>
        <w:rPr>
          <w:spacing w:val="-2"/>
          <w:sz w:val="28"/>
        </w:rPr>
        <w:t>Quang.</w:t>
      </w:r>
    </w:p>
    <w:p>
      <w:pPr>
        <w:pStyle w:val="ListParagraph"/>
        <w:numPr>
          <w:ilvl w:val="0"/>
          <w:numId w:val="1"/>
        </w:numPr>
        <w:tabs>
          <w:tab w:pos="1033" w:val="left" w:leader="none"/>
        </w:tabs>
        <w:spacing w:line="240" w:lineRule="auto" w:before="47" w:after="0"/>
        <w:ind w:left="151" w:right="288" w:firstLine="566"/>
        <w:jc w:val="both"/>
        <w:rPr>
          <w:sz w:val="28"/>
        </w:rPr>
      </w:pPr>
      <w:r>
        <w:rPr>
          <w:sz w:val="28"/>
        </w:rPr>
        <w:t>Hậu quả của việc đình chỉ giải quyết vụ án: Công ty Lâm nghiệp T được quyền khởi kiện yêu cầu Tòa án giải quyết lại vụ án theo quy định tại khoản 1 Điều 218 Bộ luật tố tụng dân sự;</w:t>
      </w:r>
    </w:p>
    <w:p>
      <w:pPr>
        <w:pStyle w:val="BodyText"/>
        <w:spacing w:before="99"/>
        <w:ind w:right="289"/>
      </w:pPr>
      <w:r>
        <w:rPr/>
        <w:t>Về án phí: Các đương sự không phải chịu án phí dân sự sơ thẩm; trả lại cho Công ty Lâm nghiệp T khoản tiền tạm ứng án phí đã nộp 300.000đ (Ba trăm nghìn đồng) theo biên lai thu tạm ứng án phí số 0005843 ngày 10 tháng 11 năm 2022 của Chi cục thi hành án dân sự huyện Hàm Yên và đơn khởi kiện cùng toàn bộ các tài liệu, chứng cứ kèm theo.</w:t>
      </w:r>
    </w:p>
    <w:p>
      <w:pPr>
        <w:pStyle w:val="ListParagraph"/>
        <w:numPr>
          <w:ilvl w:val="0"/>
          <w:numId w:val="1"/>
        </w:numPr>
        <w:tabs>
          <w:tab w:pos="1011" w:val="left" w:leader="none"/>
        </w:tabs>
        <w:spacing w:line="240" w:lineRule="auto" w:before="100" w:after="0"/>
        <w:ind w:left="151" w:right="299" w:firstLine="566"/>
        <w:jc w:val="both"/>
        <w:rPr>
          <w:sz w:val="28"/>
        </w:rPr>
      </w:pPr>
      <w:r>
        <w:rPr>
          <w:sz w:val="28"/>
        </w:rPr>
        <w:t>Đương sự có quyền kháng cáo, Viện kiểm sát nhân dân huyện Hàm Yên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1"/>
        <w:ind w:left="0" w:firstLine="0"/>
        <w:jc w:val="left"/>
        <w:rPr>
          <w:sz w:val="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9"/>
        <w:gridCol w:w="3633"/>
      </w:tblGrid>
      <w:tr>
        <w:trPr>
          <w:trHeight w:val="2255" w:hRule="atLeast"/>
        </w:trPr>
        <w:tc>
          <w:tcPr>
            <w:tcW w:w="4299" w:type="dxa"/>
          </w:tcPr>
          <w:p>
            <w:pPr>
              <w:pStyle w:val="TableParagraph"/>
              <w:spacing w:line="295" w:lineRule="exact" w:before="185"/>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5" w:val="left" w:leader="none"/>
              </w:tabs>
              <w:spacing w:line="249"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Tuyên</w:t>
            </w:r>
            <w:r>
              <w:rPr>
                <w:spacing w:val="-2"/>
                <w:sz w:val="22"/>
              </w:rPr>
              <w:t> Quang;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DS</w:t>
            </w:r>
            <w:r>
              <w:rPr>
                <w:spacing w:val="-1"/>
                <w:sz w:val="22"/>
              </w:rPr>
              <w:t> </w:t>
            </w:r>
            <w:r>
              <w:rPr>
                <w:sz w:val="22"/>
              </w:rPr>
              <w:t>huyện</w:t>
            </w:r>
            <w:r>
              <w:rPr>
                <w:spacing w:val="-3"/>
                <w:sz w:val="22"/>
              </w:rPr>
              <w:t> </w:t>
            </w:r>
            <w:r>
              <w:rPr>
                <w:spacing w:val="-5"/>
                <w:sz w:val="22"/>
              </w:rPr>
              <w:t>H;</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pacing w:val="-4"/>
                <w:sz w:val="22"/>
              </w:rPr>
              <w:t>Lưu.</w:t>
            </w:r>
          </w:p>
        </w:tc>
        <w:tc>
          <w:tcPr>
            <w:tcW w:w="3633" w:type="dxa"/>
          </w:tcPr>
          <w:p>
            <w:pPr>
              <w:pStyle w:val="TableParagraph"/>
              <w:spacing w:line="311" w:lineRule="exact"/>
              <w:ind w:left="1611" w:right="40"/>
              <w:jc w:val="center"/>
              <w:rPr>
                <w:b/>
                <w:sz w:val="28"/>
              </w:rPr>
            </w:pPr>
            <w:r>
              <w:rPr>
                <w:b/>
                <w:sz w:val="28"/>
              </w:rPr>
              <w:t>THẨM</w:t>
            </w:r>
            <w:r>
              <w:rPr>
                <w:b/>
                <w:spacing w:val="-5"/>
                <w:sz w:val="28"/>
              </w:rPr>
              <w:t> </w:t>
            </w:r>
            <w:r>
              <w:rPr>
                <w:b/>
                <w:spacing w:val="-4"/>
                <w:sz w:val="28"/>
              </w:rPr>
              <w:t>PHÁN</w:t>
            </w:r>
          </w:p>
          <w:p>
            <w:pPr>
              <w:pStyle w:val="TableParagraph"/>
              <w:spacing w:before="6"/>
              <w:rPr>
                <w:sz w:val="28"/>
              </w:rPr>
            </w:pPr>
          </w:p>
          <w:p>
            <w:pPr>
              <w:pStyle w:val="TableParagraph"/>
              <w:ind w:left="1613" w:right="39"/>
              <w:jc w:val="center"/>
              <w:rPr>
                <w:i/>
                <w:sz w:val="28"/>
              </w:rPr>
            </w:pPr>
            <w:r>
              <w:rPr>
                <w:sz w:val="28"/>
              </w:rPr>
              <w:t>(</w:t>
            </w:r>
            <w:r>
              <w:rPr>
                <w:i/>
                <w:sz w:val="28"/>
              </w:rPr>
              <w:t>Đã</w:t>
            </w:r>
            <w:r>
              <w:rPr>
                <w:i/>
                <w:spacing w:val="-1"/>
                <w:sz w:val="28"/>
              </w:rPr>
              <w:t> </w:t>
            </w:r>
            <w:r>
              <w:rPr>
                <w:i/>
                <w:spacing w:val="-5"/>
                <w:sz w:val="28"/>
              </w:rPr>
              <w:t>ký)</w:t>
            </w:r>
          </w:p>
          <w:p>
            <w:pPr>
              <w:pStyle w:val="TableParagraph"/>
              <w:rPr>
                <w:sz w:val="30"/>
              </w:rPr>
            </w:pPr>
          </w:p>
          <w:p>
            <w:pPr>
              <w:pStyle w:val="TableParagraph"/>
              <w:rPr>
                <w:sz w:val="30"/>
              </w:rPr>
            </w:pPr>
          </w:p>
          <w:p>
            <w:pPr>
              <w:pStyle w:val="TableParagraph"/>
              <w:spacing w:before="6"/>
              <w:rPr>
                <w:sz w:val="24"/>
              </w:rPr>
            </w:pPr>
          </w:p>
          <w:p>
            <w:pPr>
              <w:pStyle w:val="TableParagraph"/>
              <w:spacing w:line="302" w:lineRule="exact"/>
              <w:ind w:left="1613" w:right="40"/>
              <w:jc w:val="center"/>
              <w:rPr>
                <w:b/>
                <w:sz w:val="28"/>
              </w:rPr>
            </w:pPr>
            <w:r>
              <w:rPr>
                <w:b/>
                <w:sz w:val="28"/>
              </w:rPr>
              <w:t>Hoàng</w:t>
            </w:r>
            <w:r>
              <w:rPr>
                <w:b/>
                <w:spacing w:val="-3"/>
                <w:sz w:val="28"/>
              </w:rPr>
              <w:t> </w:t>
            </w:r>
            <w:r>
              <w:rPr>
                <w:b/>
                <w:sz w:val="28"/>
              </w:rPr>
              <w:t>Cao</w:t>
            </w:r>
            <w:r>
              <w:rPr>
                <w:b/>
                <w:spacing w:val="-3"/>
                <w:sz w:val="28"/>
              </w:rPr>
              <w:t> </w:t>
            </w:r>
            <w:r>
              <w:rPr>
                <w:b/>
                <w:spacing w:val="-4"/>
                <w:sz w:val="28"/>
              </w:rPr>
              <w:t>Tiến</w:t>
            </w:r>
          </w:p>
        </w:tc>
      </w:tr>
    </w:tbl>
    <w:p>
      <w:pPr>
        <w:spacing w:after="0" w:line="302" w:lineRule="exact"/>
        <w:jc w:val="center"/>
        <w:rPr>
          <w:sz w:val="28"/>
        </w:rPr>
        <w:sectPr>
          <w:footerReference w:type="default" r:id="rId5"/>
          <w:type w:val="continuous"/>
          <w:pgSz w:w="12240" w:h="15840"/>
          <w:pgMar w:footer="523" w:header="0" w:top="1120" w:bottom="720" w:left="1560" w:right="780"/>
          <w:pgNumType w:start="1"/>
        </w:sectPr>
      </w:pPr>
    </w:p>
    <w:p>
      <w:pPr>
        <w:pStyle w:val="BodyText"/>
        <w:spacing w:before="4"/>
        <w:ind w:left="0" w:firstLine="0"/>
        <w:jc w:val="left"/>
        <w:rPr>
          <w:sz w:val="17"/>
        </w:rPr>
      </w:pPr>
    </w:p>
    <w:sectPr>
      <w:pgSz w:w="12240" w:h="15840"/>
      <w:pgMar w:header="0" w:footer="523" w:top="1820" w:bottom="720" w:left="15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4.589996pt;margin-top:754.831421pt;width:15.45pt;height:17.95pt;mso-position-horizontal-relative:page;mso-position-vertical-relative:page;z-index:-15774720" type="#_x0000_t202" id="docshape1"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3" w:hanging="125"/>
      </w:pPr>
      <w:rPr>
        <w:rFonts w:hint="default"/>
        <w:lang w:val="vi" w:eastAsia="en-US" w:bidi="ar-SA"/>
      </w:rPr>
    </w:lvl>
    <w:lvl w:ilvl="3">
      <w:start w:val="0"/>
      <w:numFmt w:val="bullet"/>
      <w:lvlText w:val="•"/>
      <w:lvlJc w:val="left"/>
      <w:pPr>
        <w:ind w:left="1415" w:hanging="125"/>
      </w:pPr>
      <w:rPr>
        <w:rFonts w:hint="default"/>
        <w:lang w:val="vi" w:eastAsia="en-US" w:bidi="ar-SA"/>
      </w:rPr>
    </w:lvl>
    <w:lvl w:ilvl="4">
      <w:start w:val="0"/>
      <w:numFmt w:val="bullet"/>
      <w:lvlText w:val="•"/>
      <w:lvlJc w:val="left"/>
      <w:pPr>
        <w:ind w:left="1827" w:hanging="125"/>
      </w:pPr>
      <w:rPr>
        <w:rFonts w:hint="default"/>
        <w:lang w:val="vi" w:eastAsia="en-US" w:bidi="ar-SA"/>
      </w:rPr>
    </w:lvl>
    <w:lvl w:ilvl="5">
      <w:start w:val="0"/>
      <w:numFmt w:val="bullet"/>
      <w:lvlText w:val="•"/>
      <w:lvlJc w:val="left"/>
      <w:pPr>
        <w:ind w:left="2239" w:hanging="125"/>
      </w:pPr>
      <w:rPr>
        <w:rFonts w:hint="default"/>
        <w:lang w:val="vi" w:eastAsia="en-US" w:bidi="ar-SA"/>
      </w:rPr>
    </w:lvl>
    <w:lvl w:ilvl="6">
      <w:start w:val="0"/>
      <w:numFmt w:val="bullet"/>
      <w:lvlText w:val="•"/>
      <w:lvlJc w:val="left"/>
      <w:pPr>
        <w:ind w:left="2651" w:hanging="125"/>
      </w:pPr>
      <w:rPr>
        <w:rFonts w:hint="default"/>
        <w:lang w:val="vi" w:eastAsia="en-US" w:bidi="ar-SA"/>
      </w:rPr>
    </w:lvl>
    <w:lvl w:ilvl="7">
      <w:start w:val="0"/>
      <w:numFmt w:val="bullet"/>
      <w:lvlText w:val="•"/>
      <w:lvlJc w:val="left"/>
      <w:pPr>
        <w:ind w:left="3063" w:hanging="125"/>
      </w:pPr>
      <w:rPr>
        <w:rFonts w:hint="default"/>
        <w:lang w:val="vi" w:eastAsia="en-US" w:bidi="ar-SA"/>
      </w:rPr>
    </w:lvl>
    <w:lvl w:ilvl="8">
      <w:start w:val="0"/>
      <w:numFmt w:val="bullet"/>
      <w:lvlText w:val="•"/>
      <w:lvlJc w:val="left"/>
      <w:pPr>
        <w:ind w:left="3475" w:hanging="125"/>
      </w:pPr>
      <w:rPr>
        <w:rFonts w:hint="default"/>
        <w:lang w:val="vi" w:eastAsia="en-US" w:bidi="ar-SA"/>
      </w:rPr>
    </w:lvl>
  </w:abstractNum>
  <w:abstractNum w:abstractNumId="1">
    <w:multiLevelType w:val="hybridMultilevel"/>
    <w:lvl w:ilvl="0">
      <w:start w:val="0"/>
      <w:numFmt w:val="bullet"/>
      <w:lvlText w:val="-"/>
      <w:lvlJc w:val="left"/>
      <w:pPr>
        <w:ind w:left="151"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4" w:hanging="183"/>
      </w:pPr>
      <w:rPr>
        <w:rFonts w:hint="default"/>
        <w:lang w:val="vi" w:eastAsia="en-US" w:bidi="ar-SA"/>
      </w:rPr>
    </w:lvl>
    <w:lvl w:ilvl="2">
      <w:start w:val="0"/>
      <w:numFmt w:val="bullet"/>
      <w:lvlText w:val="•"/>
      <w:lvlJc w:val="left"/>
      <w:pPr>
        <w:ind w:left="2108" w:hanging="183"/>
      </w:pPr>
      <w:rPr>
        <w:rFonts w:hint="default"/>
        <w:lang w:val="vi" w:eastAsia="en-US" w:bidi="ar-SA"/>
      </w:rPr>
    </w:lvl>
    <w:lvl w:ilvl="3">
      <w:start w:val="0"/>
      <w:numFmt w:val="bullet"/>
      <w:lvlText w:val="•"/>
      <w:lvlJc w:val="left"/>
      <w:pPr>
        <w:ind w:left="3082" w:hanging="183"/>
      </w:pPr>
      <w:rPr>
        <w:rFonts w:hint="default"/>
        <w:lang w:val="vi" w:eastAsia="en-US" w:bidi="ar-SA"/>
      </w:rPr>
    </w:lvl>
    <w:lvl w:ilvl="4">
      <w:start w:val="0"/>
      <w:numFmt w:val="bullet"/>
      <w:lvlText w:val="•"/>
      <w:lvlJc w:val="left"/>
      <w:pPr>
        <w:ind w:left="4056" w:hanging="183"/>
      </w:pPr>
      <w:rPr>
        <w:rFonts w:hint="default"/>
        <w:lang w:val="vi" w:eastAsia="en-US" w:bidi="ar-SA"/>
      </w:rPr>
    </w:lvl>
    <w:lvl w:ilvl="5">
      <w:start w:val="0"/>
      <w:numFmt w:val="bullet"/>
      <w:lvlText w:val="•"/>
      <w:lvlJc w:val="left"/>
      <w:pPr>
        <w:ind w:left="5030" w:hanging="183"/>
      </w:pPr>
      <w:rPr>
        <w:rFonts w:hint="default"/>
        <w:lang w:val="vi" w:eastAsia="en-US" w:bidi="ar-SA"/>
      </w:rPr>
    </w:lvl>
    <w:lvl w:ilvl="6">
      <w:start w:val="0"/>
      <w:numFmt w:val="bullet"/>
      <w:lvlText w:val="•"/>
      <w:lvlJc w:val="left"/>
      <w:pPr>
        <w:ind w:left="6004" w:hanging="183"/>
      </w:pPr>
      <w:rPr>
        <w:rFonts w:hint="default"/>
        <w:lang w:val="vi" w:eastAsia="en-US" w:bidi="ar-SA"/>
      </w:rPr>
    </w:lvl>
    <w:lvl w:ilvl="7">
      <w:start w:val="0"/>
      <w:numFmt w:val="bullet"/>
      <w:lvlText w:val="•"/>
      <w:lvlJc w:val="left"/>
      <w:pPr>
        <w:ind w:left="6978" w:hanging="183"/>
      </w:pPr>
      <w:rPr>
        <w:rFonts w:hint="default"/>
        <w:lang w:val="vi" w:eastAsia="en-US" w:bidi="ar-SA"/>
      </w:rPr>
    </w:lvl>
    <w:lvl w:ilvl="8">
      <w:start w:val="0"/>
      <w:numFmt w:val="bullet"/>
      <w:lvlText w:val="•"/>
      <w:lvlJc w:val="left"/>
      <w:pPr>
        <w:ind w:left="7952" w:hanging="183"/>
      </w:pPr>
      <w:rPr>
        <w:rFonts w:hint="default"/>
        <w:lang w:val="vi" w:eastAsia="en-US" w:bidi="ar-SA"/>
      </w:rPr>
    </w:lvl>
  </w:abstractNum>
  <w:abstractNum w:abstractNumId="0">
    <w:multiLevelType w:val="hybridMultilevel"/>
    <w:lvl w:ilvl="0">
      <w:start w:val="1"/>
      <w:numFmt w:val="decimal"/>
      <w:lvlText w:val="%1."/>
      <w:lvlJc w:val="left"/>
      <w:pPr>
        <w:ind w:left="1114" w:hanging="267"/>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98" w:hanging="267"/>
      </w:pPr>
      <w:rPr>
        <w:rFonts w:hint="default"/>
        <w:lang w:val="vi" w:eastAsia="en-US" w:bidi="ar-SA"/>
      </w:rPr>
    </w:lvl>
    <w:lvl w:ilvl="2">
      <w:start w:val="0"/>
      <w:numFmt w:val="bullet"/>
      <w:lvlText w:val="•"/>
      <w:lvlJc w:val="left"/>
      <w:pPr>
        <w:ind w:left="2876" w:hanging="267"/>
      </w:pPr>
      <w:rPr>
        <w:rFonts w:hint="default"/>
        <w:lang w:val="vi" w:eastAsia="en-US" w:bidi="ar-SA"/>
      </w:rPr>
    </w:lvl>
    <w:lvl w:ilvl="3">
      <w:start w:val="0"/>
      <w:numFmt w:val="bullet"/>
      <w:lvlText w:val="•"/>
      <w:lvlJc w:val="left"/>
      <w:pPr>
        <w:ind w:left="3754" w:hanging="267"/>
      </w:pPr>
      <w:rPr>
        <w:rFonts w:hint="default"/>
        <w:lang w:val="vi" w:eastAsia="en-US" w:bidi="ar-SA"/>
      </w:rPr>
    </w:lvl>
    <w:lvl w:ilvl="4">
      <w:start w:val="0"/>
      <w:numFmt w:val="bullet"/>
      <w:lvlText w:val="•"/>
      <w:lvlJc w:val="left"/>
      <w:pPr>
        <w:ind w:left="4632" w:hanging="267"/>
      </w:pPr>
      <w:rPr>
        <w:rFonts w:hint="default"/>
        <w:lang w:val="vi" w:eastAsia="en-US" w:bidi="ar-SA"/>
      </w:rPr>
    </w:lvl>
    <w:lvl w:ilvl="5">
      <w:start w:val="0"/>
      <w:numFmt w:val="bullet"/>
      <w:lvlText w:val="•"/>
      <w:lvlJc w:val="left"/>
      <w:pPr>
        <w:ind w:left="5510" w:hanging="267"/>
      </w:pPr>
      <w:rPr>
        <w:rFonts w:hint="default"/>
        <w:lang w:val="vi" w:eastAsia="en-US" w:bidi="ar-SA"/>
      </w:rPr>
    </w:lvl>
    <w:lvl w:ilvl="6">
      <w:start w:val="0"/>
      <w:numFmt w:val="bullet"/>
      <w:lvlText w:val="•"/>
      <w:lvlJc w:val="left"/>
      <w:pPr>
        <w:ind w:left="6388" w:hanging="267"/>
      </w:pPr>
      <w:rPr>
        <w:rFonts w:hint="default"/>
        <w:lang w:val="vi" w:eastAsia="en-US" w:bidi="ar-SA"/>
      </w:rPr>
    </w:lvl>
    <w:lvl w:ilvl="7">
      <w:start w:val="0"/>
      <w:numFmt w:val="bullet"/>
      <w:lvlText w:val="•"/>
      <w:lvlJc w:val="left"/>
      <w:pPr>
        <w:ind w:left="7266" w:hanging="267"/>
      </w:pPr>
      <w:rPr>
        <w:rFonts w:hint="default"/>
        <w:lang w:val="vi" w:eastAsia="en-US" w:bidi="ar-SA"/>
      </w:rPr>
    </w:lvl>
    <w:lvl w:ilvl="8">
      <w:start w:val="0"/>
      <w:numFmt w:val="bullet"/>
      <w:lvlText w:val="•"/>
      <w:lvlJc w:val="left"/>
      <w:pPr>
        <w:ind w:left="8144"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287" w:right="24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dc:title>TAND thÞ x· tuyªn quang</dc:title>
  <dcterms:created xsi:type="dcterms:W3CDTF">2023-04-24T21:36:33Z</dcterms:created>
  <dcterms:modified xsi:type="dcterms:W3CDTF">2023-04-24T21:36:33Z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