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0"/>
        <w:gridCol w:w="6104"/>
      </w:tblGrid>
      <w:tr>
        <w:trPr>
          <w:trHeight w:val="1600" w:hRule="atLeast"/>
        </w:trPr>
        <w:tc>
          <w:tcPr>
            <w:tcW w:w="3640" w:type="dxa"/>
          </w:tcPr>
          <w:p>
            <w:pPr>
              <w:pStyle w:val="TableParagraph"/>
              <w:spacing w:line="242" w:lineRule="auto"/>
              <w:ind w:left="424" w:right="561"/>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C</w:t>
            </w:r>
          </w:p>
          <w:p>
            <w:pPr>
              <w:pStyle w:val="TableParagraph"/>
              <w:spacing w:line="313" w:lineRule="exact" w:after="64"/>
              <w:ind w:left="423" w:right="561"/>
              <w:rPr>
                <w:sz w:val="28"/>
              </w:rPr>
            </w:pPr>
            <w:r>
              <w:rPr>
                <w:sz w:val="28"/>
              </w:rPr>
              <w:t>THÀNH</w:t>
            </w:r>
            <w:r>
              <w:rPr>
                <w:spacing w:val="-6"/>
                <w:sz w:val="28"/>
              </w:rPr>
              <w:t> </w:t>
            </w:r>
            <w:r>
              <w:rPr>
                <w:sz w:val="28"/>
              </w:rPr>
              <w:t>PHỐ</w:t>
            </w:r>
            <w:r>
              <w:rPr>
                <w:spacing w:val="-5"/>
                <w:sz w:val="28"/>
              </w:rPr>
              <w:t> </w:t>
            </w:r>
            <w:r>
              <w:rPr>
                <w:spacing w:val="-10"/>
                <w:sz w:val="28"/>
              </w:rPr>
              <w:t>T</w:t>
            </w:r>
          </w:p>
          <w:p>
            <w:pPr>
              <w:pStyle w:val="TableParagraph"/>
              <w:spacing w:line="20" w:lineRule="exact"/>
              <w:ind w:left="864"/>
              <w:jc w:val="left"/>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30"/>
              <w:ind w:left="50" w:right="187"/>
              <w:rPr>
                <w:b/>
                <w:sz w:val="28"/>
              </w:rPr>
            </w:pPr>
            <w:r>
              <w:rPr>
                <w:b/>
                <w:sz w:val="28"/>
              </w:rPr>
              <w:t>Số:</w:t>
            </w:r>
            <w:r>
              <w:rPr>
                <w:b/>
                <w:spacing w:val="-1"/>
                <w:sz w:val="28"/>
              </w:rPr>
              <w:t> </w:t>
            </w:r>
            <w:r>
              <w:rPr>
                <w:b/>
                <w:spacing w:val="-2"/>
                <w:sz w:val="28"/>
              </w:rPr>
              <w:t>68/2022/QĐST–VHNGĐ</w:t>
            </w:r>
          </w:p>
        </w:tc>
        <w:tc>
          <w:tcPr>
            <w:tcW w:w="6104" w:type="dxa"/>
          </w:tcPr>
          <w:p>
            <w:pPr>
              <w:pStyle w:val="TableParagraph"/>
              <w:spacing w:line="311" w:lineRule="exact"/>
              <w:ind w:right="67"/>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0"/>
              <w:ind w:right="64"/>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74"/>
              <w:jc w:val="left"/>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ind w:left="0"/>
              <w:jc w:val="left"/>
              <w:rPr>
                <w:sz w:val="30"/>
              </w:rPr>
            </w:pPr>
          </w:p>
          <w:p>
            <w:pPr>
              <w:pStyle w:val="TableParagraph"/>
              <w:spacing w:line="307" w:lineRule="exact" w:before="203"/>
              <w:ind w:left="2593"/>
              <w:jc w:val="left"/>
              <w:rPr>
                <w:i/>
                <w:sz w:val="28"/>
              </w:rPr>
            </w:pPr>
            <w:r>
              <w:rPr>
                <w:i/>
                <w:sz w:val="28"/>
              </w:rPr>
              <w:t>C,</w:t>
            </w:r>
            <w:r>
              <w:rPr>
                <w:i/>
                <w:spacing w:val="-2"/>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ind w:left="0" w:firstLine="0"/>
        <w:jc w:val="left"/>
        <w:rPr>
          <w:sz w:val="20"/>
        </w:rPr>
      </w:pPr>
    </w:p>
    <w:p>
      <w:pPr>
        <w:pStyle w:val="Title"/>
      </w:pPr>
      <w:r>
        <w:rPr/>
        <w:t>QUYẾT</w:t>
      </w:r>
      <w:r>
        <w:rPr>
          <w:spacing w:val="-15"/>
        </w:rPr>
        <w:t> </w:t>
      </w:r>
      <w:r>
        <w:rPr>
          <w:spacing w:val="-4"/>
        </w:rPr>
        <w:t>ĐỊNH</w:t>
      </w:r>
    </w:p>
    <w:p>
      <w:pPr>
        <w:pStyle w:val="Heading1"/>
        <w:spacing w:line="321" w:lineRule="exact"/>
        <w:ind w:right="216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2034" w:right="21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38"/>
        <w:ind w:left="2034" w:right="2160" w:firstLine="0"/>
        <w:jc w:val="center"/>
      </w:pPr>
      <w:r>
        <w:rPr/>
        <w:t>TÒA</w:t>
      </w:r>
      <w:r>
        <w:rPr>
          <w:spacing w:val="-8"/>
        </w:rPr>
        <w:t> </w:t>
      </w:r>
      <w:r>
        <w:rPr/>
        <w:t>ÁN</w:t>
      </w:r>
      <w:r>
        <w:rPr>
          <w:spacing w:val="-3"/>
        </w:rPr>
        <w:t> </w:t>
      </w:r>
      <w:r>
        <w:rPr/>
        <w:t>NHÂN</w:t>
      </w:r>
      <w:r>
        <w:rPr>
          <w:spacing w:val="-4"/>
        </w:rPr>
        <w:t> </w:t>
      </w:r>
      <w:r>
        <w:rPr/>
        <w:t>DÂN</w:t>
      </w:r>
      <w:r>
        <w:rPr>
          <w:spacing w:val="-5"/>
        </w:rPr>
        <w:t> </w:t>
      </w:r>
      <w:r>
        <w:rPr/>
        <w:t>QUẬN</w:t>
      </w:r>
      <w:r>
        <w:rPr>
          <w:spacing w:val="-1"/>
        </w:rPr>
        <w:t> </w:t>
      </w:r>
      <w:r>
        <w:rPr>
          <w:spacing w:val="-10"/>
        </w:rPr>
        <w:t>C</w:t>
      </w:r>
    </w:p>
    <w:p>
      <w:pPr>
        <w:pStyle w:val="BodyText"/>
        <w:spacing w:before="5"/>
        <w:ind w:left="0" w:firstLine="0"/>
        <w:jc w:val="left"/>
        <w:rPr>
          <w:sz w:val="30"/>
        </w:rPr>
      </w:pPr>
    </w:p>
    <w:p>
      <w:pPr>
        <w:pStyle w:val="BodyText"/>
        <w:spacing w:line="290" w:lineRule="auto"/>
        <w:ind w:left="1101" w:right="1171" w:firstLine="0"/>
      </w:pPr>
      <w:r>
        <w:rPr/>
        <w:t>Căn cứ các Điều 212,</w:t>
      </w:r>
      <w:r>
        <w:rPr>
          <w:spacing w:val="-1"/>
        </w:rPr>
        <w:t> </w:t>
      </w:r>
      <w:r>
        <w:rPr/>
        <w:t>396 và 397 Bộ luật Tố tụng</w:t>
      </w:r>
      <w:r>
        <w:rPr>
          <w:spacing w:val="-1"/>
        </w:rPr>
        <w:t> </w:t>
      </w:r>
      <w:r>
        <w:rPr/>
        <w:t>dân sự năm</w:t>
      </w:r>
      <w:r>
        <w:rPr>
          <w:spacing w:val="-3"/>
        </w:rPr>
        <w:t> </w:t>
      </w:r>
      <w:r>
        <w:rPr/>
        <w:t>2015; Căn</w:t>
      </w:r>
      <w:r>
        <w:rPr>
          <w:spacing w:val="-1"/>
        </w:rPr>
        <w:t> </w:t>
      </w:r>
      <w:r>
        <w:rPr/>
        <w:t>cứ</w:t>
      </w:r>
      <w:r>
        <w:rPr>
          <w:spacing w:val="-4"/>
        </w:rPr>
        <w:t> </w:t>
      </w:r>
      <w:r>
        <w:rPr/>
        <w:t>các</w:t>
      </w:r>
      <w:r>
        <w:rPr>
          <w:spacing w:val="-2"/>
        </w:rPr>
        <w:t> </w:t>
      </w:r>
      <w:r>
        <w:rPr/>
        <w:t>Điều</w:t>
      </w:r>
      <w:r>
        <w:rPr>
          <w:spacing w:val="-4"/>
        </w:rPr>
        <w:t> </w:t>
      </w:r>
      <w:r>
        <w:rPr/>
        <w:t>55,</w:t>
      </w:r>
      <w:r>
        <w:rPr>
          <w:spacing w:val="-3"/>
        </w:rPr>
        <w:t> </w:t>
      </w:r>
      <w:r>
        <w:rPr/>
        <w:t>81</w:t>
      </w:r>
      <w:r>
        <w:rPr>
          <w:spacing w:val="-5"/>
        </w:rPr>
        <w:t> </w:t>
      </w:r>
      <w:r>
        <w:rPr/>
        <w:t>và</w:t>
      </w:r>
      <w:r>
        <w:rPr>
          <w:spacing w:val="-5"/>
        </w:rPr>
        <w:t> </w:t>
      </w:r>
      <w:r>
        <w:rPr/>
        <w:t>82</w:t>
      </w:r>
      <w:r>
        <w:rPr>
          <w:spacing w:val="-1"/>
        </w:rPr>
        <w:t> </w:t>
      </w:r>
      <w:r>
        <w:rPr/>
        <w:t>Luật</w:t>
      </w:r>
      <w:r>
        <w:rPr>
          <w:spacing w:val="-1"/>
        </w:rPr>
        <w:t> </w:t>
      </w:r>
      <w:r>
        <w:rPr/>
        <w:t>Hôn</w:t>
      </w:r>
      <w:r>
        <w:rPr>
          <w:spacing w:val="-5"/>
        </w:rPr>
        <w:t> </w:t>
      </w:r>
      <w:r>
        <w:rPr/>
        <w:t>nhân</w:t>
      </w:r>
      <w:r>
        <w:rPr>
          <w:spacing w:val="-1"/>
        </w:rPr>
        <w:t> </w:t>
      </w:r>
      <w:r>
        <w:rPr/>
        <w:t>và</w:t>
      </w:r>
      <w:r>
        <w:rPr>
          <w:spacing w:val="-2"/>
        </w:rPr>
        <w:t> </w:t>
      </w:r>
      <w:r>
        <w:rPr/>
        <w:t>Gia</w:t>
      </w:r>
      <w:r>
        <w:rPr>
          <w:spacing w:val="-2"/>
        </w:rPr>
        <w:t> </w:t>
      </w:r>
      <w:r>
        <w:rPr/>
        <w:t>đình</w:t>
      </w:r>
      <w:r>
        <w:rPr>
          <w:spacing w:val="-5"/>
        </w:rPr>
        <w:t> </w:t>
      </w:r>
      <w:r>
        <w:rPr/>
        <w:t>năm</w:t>
      </w:r>
      <w:r>
        <w:rPr>
          <w:spacing w:val="-7"/>
        </w:rPr>
        <w:t> </w:t>
      </w:r>
      <w:r>
        <w:rPr/>
        <w:t>2014; Căn cứ Luật Phí và Lệ phí năm 2015;</w:t>
      </w:r>
    </w:p>
    <w:p>
      <w:pPr>
        <w:pStyle w:val="BodyText"/>
        <w:spacing w:line="290" w:lineRule="auto"/>
        <w:ind w:right="515"/>
      </w:pPr>
      <w:r>
        <w:rPr/>
        <w:t>Căn cứ Nghị quyết số: 326/2016/UBTVQH14 ngày 30/12/2016 của Ủy ban Thường vụ Quốc</w:t>
      </w:r>
      <w:r>
        <w:rPr>
          <w:spacing w:val="-2"/>
        </w:rPr>
        <w:t> </w:t>
      </w:r>
      <w:r>
        <w:rPr/>
        <w:t>Hội quy</w:t>
      </w:r>
      <w:r>
        <w:rPr>
          <w:spacing w:val="-4"/>
        </w:rPr>
        <w:t> </w:t>
      </w:r>
      <w:r>
        <w:rPr/>
        <w:t>định về mức thu, miễn, giảm, thu, nộp, quản lý và sử dụng án phí và lệ phí Tòa án;</w:t>
      </w:r>
    </w:p>
    <w:p>
      <w:pPr>
        <w:pStyle w:val="BodyText"/>
        <w:spacing w:line="290" w:lineRule="auto"/>
        <w:ind w:right="506"/>
      </w:pPr>
      <w:r>
        <w:rPr/>
        <w:t>Sau khi nghiên cứu hồ sơ việc hôn nhân và gia đình số: 67/2022/TLST- VHNGĐ ngày 07/11/2022 về việc “</w:t>
      </w:r>
      <w:r>
        <w:rPr>
          <w:i/>
        </w:rPr>
        <w:t>Yêu cầu công nhận thuận tình ly hôn</w:t>
      </w:r>
      <w:r>
        <w:rPr/>
        <w:t>”, gồm những người tham gia tố tụng sau đây:</w:t>
      </w:r>
    </w:p>
    <w:p>
      <w:pPr>
        <w:spacing w:line="320" w:lineRule="exact" w:before="0"/>
        <w:ind w:left="1101" w:right="0" w:firstLine="0"/>
        <w:jc w:val="both"/>
        <w:rPr>
          <w:i/>
          <w:sz w:val="28"/>
        </w:rPr>
      </w:pPr>
      <w:r>
        <w:rPr>
          <w:sz w:val="28"/>
        </w:rPr>
        <w:t>*</w:t>
      </w:r>
      <w:r>
        <w:rPr>
          <w:spacing w:val="-3"/>
          <w:sz w:val="28"/>
        </w:rPr>
        <w:t> </w:t>
      </w:r>
      <w:r>
        <w:rPr>
          <w:i/>
          <w:sz w:val="28"/>
          <w:u w:val="single"/>
        </w:rPr>
        <w:t>Người</w:t>
      </w:r>
      <w:r>
        <w:rPr>
          <w:i/>
          <w:spacing w:val="-3"/>
          <w:sz w:val="28"/>
          <w:u w:val="single"/>
        </w:rPr>
        <w:t> </w:t>
      </w:r>
      <w:r>
        <w:rPr>
          <w:i/>
          <w:sz w:val="28"/>
          <w:u w:val="single"/>
        </w:rPr>
        <w:t>yêu</w:t>
      </w:r>
      <w:r>
        <w:rPr>
          <w:i/>
          <w:spacing w:val="-1"/>
          <w:sz w:val="28"/>
          <w:u w:val="single"/>
        </w:rPr>
        <w:t> </w:t>
      </w:r>
      <w:r>
        <w:rPr>
          <w:i/>
          <w:sz w:val="28"/>
          <w:u w:val="single"/>
        </w:rPr>
        <w:t>cầu</w:t>
      </w:r>
      <w:r>
        <w:rPr>
          <w:i/>
          <w:spacing w:val="-6"/>
          <w:sz w:val="28"/>
          <w:u w:val="single"/>
        </w:rPr>
        <w:t> </w:t>
      </w:r>
      <w:r>
        <w:rPr>
          <w:i/>
          <w:sz w:val="28"/>
          <w:u w:val="single"/>
        </w:rPr>
        <w:t>giải</w:t>
      </w:r>
      <w:r>
        <w:rPr>
          <w:i/>
          <w:spacing w:val="-1"/>
          <w:sz w:val="28"/>
          <w:u w:val="single"/>
        </w:rPr>
        <w:t> </w:t>
      </w:r>
      <w:r>
        <w:rPr>
          <w:i/>
          <w:sz w:val="28"/>
          <w:u w:val="single"/>
        </w:rPr>
        <w:t>quyết</w:t>
      </w:r>
      <w:r>
        <w:rPr>
          <w:i/>
          <w:spacing w:val="-2"/>
          <w:sz w:val="28"/>
          <w:u w:val="single"/>
        </w:rPr>
        <w:t> </w:t>
      </w:r>
      <w:r>
        <w:rPr>
          <w:i/>
          <w:sz w:val="28"/>
          <w:u w:val="single"/>
        </w:rPr>
        <w:t>việc</w:t>
      </w:r>
      <w:r>
        <w:rPr>
          <w:i/>
          <w:spacing w:val="-5"/>
          <w:sz w:val="28"/>
          <w:u w:val="single"/>
        </w:rPr>
        <w:t> </w:t>
      </w:r>
      <w:r>
        <w:rPr>
          <w:i/>
          <w:sz w:val="28"/>
          <w:u w:val="single"/>
        </w:rPr>
        <w:t>hôn</w:t>
      </w:r>
      <w:r>
        <w:rPr>
          <w:i/>
          <w:spacing w:val="-5"/>
          <w:sz w:val="28"/>
          <w:u w:val="single"/>
        </w:rPr>
        <w:t> </w:t>
      </w:r>
      <w:r>
        <w:rPr>
          <w:i/>
          <w:spacing w:val="-4"/>
          <w:sz w:val="28"/>
          <w:u w:val="single"/>
        </w:rPr>
        <w:t>nhân:</w:t>
      </w:r>
    </w:p>
    <w:p>
      <w:pPr>
        <w:pStyle w:val="ListParagraph"/>
        <w:numPr>
          <w:ilvl w:val="0"/>
          <w:numId w:val="1"/>
        </w:numPr>
        <w:tabs>
          <w:tab w:pos="1266" w:val="left" w:leader="none"/>
        </w:tabs>
        <w:spacing w:line="240" w:lineRule="auto" w:before="64" w:after="0"/>
        <w:ind w:left="1265" w:right="0" w:hanging="165"/>
        <w:jc w:val="left"/>
        <w:rPr>
          <w:sz w:val="28"/>
        </w:rPr>
      </w:pPr>
      <w:r>
        <w:rPr>
          <w:sz w:val="28"/>
        </w:rPr>
        <w:t>Ông</w:t>
      </w:r>
      <w:r>
        <w:rPr>
          <w:spacing w:val="-2"/>
          <w:sz w:val="28"/>
        </w:rPr>
        <w:t> </w:t>
      </w:r>
      <w:r>
        <w:rPr>
          <w:b/>
          <w:sz w:val="28"/>
        </w:rPr>
        <w:t>Phan</w:t>
      </w:r>
      <w:r>
        <w:rPr>
          <w:b/>
          <w:spacing w:val="-2"/>
          <w:sz w:val="28"/>
        </w:rPr>
        <w:t> </w:t>
      </w:r>
      <w:r>
        <w:rPr>
          <w:b/>
          <w:sz w:val="28"/>
        </w:rPr>
        <w:t>Tấn</w:t>
      </w:r>
      <w:r>
        <w:rPr>
          <w:b/>
          <w:spacing w:val="-3"/>
          <w:sz w:val="28"/>
        </w:rPr>
        <w:t> </w:t>
      </w:r>
      <w:r>
        <w:rPr>
          <w:b/>
          <w:sz w:val="28"/>
        </w:rPr>
        <w:t>P</w:t>
      </w:r>
      <w:r>
        <w:rPr>
          <w:sz w:val="28"/>
        </w:rPr>
        <w:t>,</w:t>
      </w:r>
      <w:r>
        <w:rPr>
          <w:spacing w:val="-3"/>
          <w:sz w:val="28"/>
        </w:rPr>
        <w:t> </w:t>
      </w:r>
      <w:r>
        <w:rPr>
          <w:sz w:val="28"/>
        </w:rPr>
        <w:t>sinh</w:t>
      </w:r>
      <w:r>
        <w:rPr>
          <w:spacing w:val="-1"/>
          <w:sz w:val="28"/>
        </w:rPr>
        <w:t> </w:t>
      </w:r>
      <w:r>
        <w:rPr>
          <w:sz w:val="28"/>
        </w:rPr>
        <w:t>năm</w:t>
      </w:r>
      <w:r>
        <w:rPr>
          <w:spacing w:val="-7"/>
          <w:sz w:val="28"/>
        </w:rPr>
        <w:t> </w:t>
      </w:r>
      <w:r>
        <w:rPr>
          <w:spacing w:val="-2"/>
          <w:sz w:val="28"/>
        </w:rPr>
        <w:t>1995.</w:t>
      </w:r>
    </w:p>
    <w:p>
      <w:pPr>
        <w:pStyle w:val="BodyText"/>
        <w:spacing w:before="67"/>
        <w:ind w:left="1101" w:firstLine="0"/>
        <w:jc w:val="left"/>
      </w:pPr>
      <w:r>
        <w:rPr/>
        <w:t>Địa</w:t>
      </w:r>
      <w:r>
        <w:rPr>
          <w:spacing w:val="-5"/>
        </w:rPr>
        <w:t> </w:t>
      </w:r>
      <w:r>
        <w:rPr/>
        <w:t>chỉ:</w:t>
      </w:r>
      <w:r>
        <w:rPr>
          <w:spacing w:val="-1"/>
        </w:rPr>
        <w:t> </w:t>
      </w:r>
      <w:r>
        <w:rPr/>
        <w:t>Số</w:t>
      </w:r>
      <w:r>
        <w:rPr>
          <w:spacing w:val="-4"/>
        </w:rPr>
        <w:t> </w:t>
      </w:r>
      <w:r>
        <w:rPr/>
        <w:t>256</w:t>
      </w:r>
      <w:r>
        <w:rPr>
          <w:spacing w:val="-1"/>
        </w:rPr>
        <w:t> </w:t>
      </w:r>
      <w:r>
        <w:rPr/>
        <w:t>khu</w:t>
      </w:r>
      <w:r>
        <w:rPr>
          <w:spacing w:val="-1"/>
        </w:rPr>
        <w:t> </w:t>
      </w:r>
      <w:r>
        <w:rPr/>
        <w:t>vực</w:t>
      </w:r>
      <w:r>
        <w:rPr>
          <w:spacing w:val="-3"/>
        </w:rPr>
        <w:t> </w:t>
      </w:r>
      <w:r>
        <w:rPr/>
        <w:t>A,</w:t>
      </w:r>
      <w:r>
        <w:rPr>
          <w:spacing w:val="-4"/>
        </w:rPr>
        <w:t> </w:t>
      </w:r>
      <w:r>
        <w:rPr/>
        <w:t>phường</w:t>
      </w:r>
      <w:r>
        <w:rPr>
          <w:spacing w:val="-2"/>
        </w:rPr>
        <w:t> </w:t>
      </w:r>
      <w:r>
        <w:rPr/>
        <w:t>T,</w:t>
      </w:r>
      <w:r>
        <w:rPr>
          <w:spacing w:val="-3"/>
        </w:rPr>
        <w:t> </w:t>
      </w:r>
      <w:r>
        <w:rPr/>
        <w:t>quận</w:t>
      </w:r>
      <w:r>
        <w:rPr>
          <w:spacing w:val="-2"/>
        </w:rPr>
        <w:t> </w:t>
      </w:r>
      <w:r>
        <w:rPr/>
        <w:t>C,</w:t>
      </w:r>
      <w:r>
        <w:rPr>
          <w:spacing w:val="-3"/>
        </w:rPr>
        <w:t> </w:t>
      </w:r>
      <w:r>
        <w:rPr/>
        <w:t>thành</w:t>
      </w:r>
      <w:r>
        <w:rPr>
          <w:spacing w:val="-5"/>
        </w:rPr>
        <w:t> </w:t>
      </w:r>
      <w:r>
        <w:rPr/>
        <w:t>phố</w:t>
      </w:r>
      <w:r>
        <w:rPr>
          <w:spacing w:val="-2"/>
        </w:rPr>
        <w:t> </w:t>
      </w:r>
      <w:r>
        <w:rPr>
          <w:spacing w:val="-5"/>
        </w:rPr>
        <w:t>T.</w:t>
      </w:r>
    </w:p>
    <w:p>
      <w:pPr>
        <w:pStyle w:val="ListParagraph"/>
        <w:numPr>
          <w:ilvl w:val="0"/>
          <w:numId w:val="1"/>
        </w:numPr>
        <w:tabs>
          <w:tab w:pos="1266" w:val="left" w:leader="none"/>
        </w:tabs>
        <w:spacing w:line="240" w:lineRule="auto" w:before="67" w:after="0"/>
        <w:ind w:left="1265" w:right="0" w:hanging="165"/>
        <w:jc w:val="left"/>
        <w:rPr>
          <w:sz w:val="28"/>
        </w:rPr>
      </w:pPr>
      <w:r>
        <w:rPr>
          <w:sz w:val="28"/>
        </w:rPr>
        <w:t>Bà</w:t>
      </w:r>
      <w:r>
        <w:rPr>
          <w:spacing w:val="-3"/>
          <w:sz w:val="28"/>
        </w:rPr>
        <w:t> </w:t>
      </w:r>
      <w:r>
        <w:rPr>
          <w:b/>
          <w:sz w:val="28"/>
        </w:rPr>
        <w:t>Mã Thị</w:t>
      </w:r>
      <w:r>
        <w:rPr>
          <w:b/>
          <w:spacing w:val="-1"/>
          <w:sz w:val="28"/>
        </w:rPr>
        <w:t> </w:t>
      </w:r>
      <w:r>
        <w:rPr>
          <w:b/>
          <w:sz w:val="28"/>
        </w:rPr>
        <w:t>Tú</w:t>
      </w:r>
      <w:r>
        <w:rPr>
          <w:b/>
          <w:spacing w:val="-2"/>
          <w:sz w:val="28"/>
        </w:rPr>
        <w:t> </w:t>
      </w:r>
      <w:r>
        <w:rPr>
          <w:b/>
          <w:sz w:val="28"/>
        </w:rPr>
        <w:t>A</w:t>
      </w:r>
      <w:r>
        <w:rPr>
          <w:sz w:val="28"/>
        </w:rPr>
        <w:t>,</w:t>
      </w:r>
      <w:r>
        <w:rPr>
          <w:spacing w:val="-2"/>
          <w:sz w:val="28"/>
        </w:rPr>
        <w:t> </w:t>
      </w:r>
      <w:r>
        <w:rPr>
          <w:sz w:val="28"/>
        </w:rPr>
        <w:t>sinh</w:t>
      </w:r>
      <w:r>
        <w:rPr>
          <w:spacing w:val="-4"/>
          <w:sz w:val="28"/>
        </w:rPr>
        <w:t> </w:t>
      </w:r>
      <w:r>
        <w:rPr>
          <w:sz w:val="28"/>
        </w:rPr>
        <w:t>năm</w:t>
      </w:r>
      <w:r>
        <w:rPr>
          <w:spacing w:val="-6"/>
          <w:sz w:val="28"/>
        </w:rPr>
        <w:t> </w:t>
      </w:r>
      <w:r>
        <w:rPr>
          <w:spacing w:val="-4"/>
          <w:sz w:val="28"/>
        </w:rPr>
        <w:t>1995.</w:t>
      </w:r>
    </w:p>
    <w:p>
      <w:pPr>
        <w:pStyle w:val="BodyText"/>
        <w:spacing w:before="67"/>
        <w:ind w:left="1101" w:firstLine="0"/>
        <w:jc w:val="left"/>
      </w:pPr>
      <w:r>
        <w:rPr/>
        <w:t>Địa</w:t>
      </w:r>
      <w:r>
        <w:rPr>
          <w:spacing w:val="-4"/>
        </w:rPr>
        <w:t> </w:t>
      </w:r>
      <w:r>
        <w:rPr/>
        <w:t>chỉ:</w:t>
      </w:r>
      <w:r>
        <w:rPr>
          <w:spacing w:val="-1"/>
        </w:rPr>
        <w:t> </w:t>
      </w:r>
      <w:r>
        <w:rPr/>
        <w:t>Số</w:t>
      </w:r>
      <w:r>
        <w:rPr>
          <w:spacing w:val="-4"/>
        </w:rPr>
        <w:t> </w:t>
      </w:r>
      <w:r>
        <w:rPr/>
        <w:t>87</w:t>
      </w:r>
      <w:r>
        <w:rPr>
          <w:spacing w:val="-5"/>
        </w:rPr>
        <w:t> </w:t>
      </w:r>
      <w:r>
        <w:rPr/>
        <w:t>khu</w:t>
      </w:r>
      <w:r>
        <w:rPr>
          <w:spacing w:val="-1"/>
        </w:rPr>
        <w:t> </w:t>
      </w:r>
      <w:r>
        <w:rPr/>
        <w:t>vực</w:t>
      </w:r>
      <w:r>
        <w:rPr>
          <w:spacing w:val="-3"/>
        </w:rPr>
        <w:t> </w:t>
      </w:r>
      <w:r>
        <w:rPr/>
        <w:t>Phú</w:t>
      </w:r>
      <w:r>
        <w:rPr>
          <w:spacing w:val="-1"/>
        </w:rPr>
        <w:t> </w:t>
      </w:r>
      <w:r>
        <w:rPr/>
        <w:t>L,</w:t>
      </w:r>
      <w:r>
        <w:rPr>
          <w:spacing w:val="-3"/>
        </w:rPr>
        <w:t> </w:t>
      </w:r>
      <w:r>
        <w:rPr/>
        <w:t>phường</w:t>
      </w:r>
      <w:r>
        <w:rPr>
          <w:spacing w:val="-2"/>
        </w:rPr>
        <w:t> </w:t>
      </w:r>
      <w:r>
        <w:rPr/>
        <w:t>T,</w:t>
      </w:r>
      <w:r>
        <w:rPr>
          <w:spacing w:val="-3"/>
        </w:rPr>
        <w:t> </w:t>
      </w:r>
      <w:r>
        <w:rPr/>
        <w:t>quận</w:t>
      </w:r>
      <w:r>
        <w:rPr>
          <w:spacing w:val="-2"/>
        </w:rPr>
        <w:t> </w:t>
      </w:r>
      <w:r>
        <w:rPr/>
        <w:t>C,</w:t>
      </w:r>
      <w:r>
        <w:rPr>
          <w:spacing w:val="-3"/>
        </w:rPr>
        <w:t> </w:t>
      </w:r>
      <w:r>
        <w:rPr/>
        <w:t>thành</w:t>
      </w:r>
      <w:r>
        <w:rPr>
          <w:spacing w:val="-1"/>
        </w:rPr>
        <w:t> </w:t>
      </w:r>
      <w:r>
        <w:rPr/>
        <w:t>phố</w:t>
      </w:r>
      <w:r>
        <w:rPr>
          <w:spacing w:val="-1"/>
        </w:rPr>
        <w:t> </w:t>
      </w:r>
      <w:r>
        <w:rPr>
          <w:spacing w:val="-5"/>
        </w:rPr>
        <w:t>T.</w:t>
      </w:r>
    </w:p>
    <w:p>
      <w:pPr>
        <w:pStyle w:val="Heading1"/>
        <w:spacing w:before="71"/>
        <w:ind w:left="20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508" w:val="left" w:leader="none"/>
        </w:tabs>
        <w:spacing w:line="290" w:lineRule="auto" w:before="63" w:after="0"/>
        <w:ind w:left="382" w:right="506" w:firstLine="719"/>
        <w:jc w:val="both"/>
        <w:rPr>
          <w:sz w:val="28"/>
        </w:rPr>
      </w:pPr>
      <w:r>
        <w:rPr>
          <w:sz w:val="28"/>
          <w:u w:val="single"/>
        </w:rPr>
        <w:t>Về quan hệ hôn nhân</w:t>
      </w:r>
      <w:r>
        <w:rPr>
          <w:sz w:val="28"/>
        </w:rPr>
        <w:t>: Ông Phan Tấn P và bà Mã Thị Tú A tự nguyện tiến tới hôn nhân vào năm</w:t>
      </w:r>
      <w:r>
        <w:rPr>
          <w:spacing w:val="-2"/>
          <w:sz w:val="28"/>
        </w:rPr>
        <w:t> </w:t>
      </w:r>
      <w:r>
        <w:rPr>
          <w:sz w:val="28"/>
        </w:rPr>
        <w:t>2018 có đăng ký kết hôn tại Ủy</w:t>
      </w:r>
      <w:r>
        <w:rPr>
          <w:spacing w:val="-1"/>
          <w:sz w:val="28"/>
        </w:rPr>
        <w:t> </w:t>
      </w:r>
      <w:r>
        <w:rPr>
          <w:sz w:val="28"/>
        </w:rPr>
        <w:t>ban nhân dân phường Tân Phú, quận C vào ngày 06/6/2018, nên hôn nhân của ông P và bà Tú A là</w:t>
      </w:r>
      <w:r>
        <w:rPr>
          <w:spacing w:val="40"/>
          <w:sz w:val="28"/>
        </w:rPr>
        <w:t> </w:t>
      </w:r>
      <w:r>
        <w:rPr>
          <w:sz w:val="28"/>
        </w:rPr>
        <w:t>hợp pháp được pháp luật điều chỉnh khi có yêu cầu. Chung sống được một thời gian thì hai bên phát sinh mâu thuẫn, cả hai đều thừa nhận tình cảm</w:t>
      </w:r>
      <w:r>
        <w:rPr>
          <w:spacing w:val="-2"/>
          <w:sz w:val="28"/>
        </w:rPr>
        <w:t> </w:t>
      </w:r>
      <w:r>
        <w:rPr>
          <w:sz w:val="28"/>
        </w:rPr>
        <w:t>vợ chồng có sự rạn nứt, mâu thuẫn với nhau, không thể đoàn tụ, tiếp tục cuộc hôn nhân đã được xây dựng. Nên ông P và bà Tú A thống nhất yêu cầu Tòa án công nhận thuận tình ly hôn. Xét thấy, sự thỏa thuận của các đương sự là hoàn toàn tự nguyện, phù hợp với quy định của pháp luật, không trái pháp luật và đạo đức xã hội nên chấp nhận.</w:t>
      </w:r>
    </w:p>
    <w:p>
      <w:pPr>
        <w:spacing w:after="0" w:line="290" w:lineRule="auto"/>
        <w:jc w:val="both"/>
        <w:rPr>
          <w:sz w:val="28"/>
        </w:rPr>
        <w:sectPr>
          <w:footerReference w:type="default" r:id="rId5"/>
          <w:type w:val="continuous"/>
          <w:pgSz w:w="11910" w:h="16850"/>
          <w:pgMar w:footer="791" w:header="0" w:top="1120" w:bottom="980" w:left="1320" w:right="620"/>
          <w:pgNumType w:start="1"/>
        </w:sectPr>
      </w:pPr>
    </w:p>
    <w:p>
      <w:pPr>
        <w:pStyle w:val="ListParagraph"/>
        <w:numPr>
          <w:ilvl w:val="0"/>
          <w:numId w:val="2"/>
        </w:numPr>
        <w:tabs>
          <w:tab w:pos="1568" w:val="left" w:leader="none"/>
        </w:tabs>
        <w:spacing w:line="290" w:lineRule="auto" w:before="65" w:after="0"/>
        <w:ind w:left="382" w:right="506" w:firstLine="789"/>
        <w:jc w:val="both"/>
        <w:rPr>
          <w:sz w:val="28"/>
        </w:rPr>
      </w:pPr>
      <w:r>
        <w:rPr>
          <w:sz w:val="28"/>
          <w:u w:val="single"/>
        </w:rPr>
        <w:t>Về</w:t>
      </w:r>
      <w:r>
        <w:rPr>
          <w:spacing w:val="-2"/>
          <w:sz w:val="28"/>
          <w:u w:val="single"/>
        </w:rPr>
        <w:t> </w:t>
      </w:r>
      <w:r>
        <w:rPr>
          <w:sz w:val="28"/>
          <w:u w:val="single"/>
        </w:rPr>
        <w:t>con</w:t>
      </w:r>
      <w:r>
        <w:rPr>
          <w:spacing w:val="-1"/>
          <w:sz w:val="28"/>
          <w:u w:val="single"/>
        </w:rPr>
        <w:t> </w:t>
      </w:r>
      <w:r>
        <w:rPr>
          <w:sz w:val="28"/>
          <w:u w:val="single"/>
        </w:rPr>
        <w:t>chung</w:t>
      </w:r>
      <w:r>
        <w:rPr>
          <w:sz w:val="28"/>
        </w:rPr>
        <w:t>:</w:t>
      </w:r>
      <w:r>
        <w:rPr>
          <w:spacing w:val="-2"/>
          <w:sz w:val="28"/>
        </w:rPr>
        <w:t> </w:t>
      </w:r>
      <w:r>
        <w:rPr>
          <w:sz w:val="28"/>
        </w:rPr>
        <w:t>Có</w:t>
      </w:r>
      <w:r>
        <w:rPr>
          <w:spacing w:val="-2"/>
          <w:sz w:val="28"/>
        </w:rPr>
        <w:t> </w:t>
      </w:r>
      <w:r>
        <w:rPr>
          <w:sz w:val="28"/>
        </w:rPr>
        <w:t>01</w:t>
      </w:r>
      <w:r>
        <w:rPr>
          <w:spacing w:val="-1"/>
          <w:sz w:val="28"/>
        </w:rPr>
        <w:t> </w:t>
      </w:r>
      <w:r>
        <w:rPr>
          <w:sz w:val="28"/>
        </w:rPr>
        <w:t>(một)</w:t>
      </w:r>
      <w:r>
        <w:rPr>
          <w:spacing w:val="-2"/>
          <w:sz w:val="28"/>
        </w:rPr>
        <w:t> </w:t>
      </w:r>
      <w:r>
        <w:rPr>
          <w:sz w:val="28"/>
        </w:rPr>
        <w:t>con</w:t>
      </w:r>
      <w:r>
        <w:rPr>
          <w:spacing w:val="-1"/>
          <w:sz w:val="28"/>
        </w:rPr>
        <w:t> </w:t>
      </w:r>
      <w:r>
        <w:rPr>
          <w:sz w:val="28"/>
        </w:rPr>
        <w:t>chung</w:t>
      </w:r>
      <w:r>
        <w:rPr>
          <w:spacing w:val="-3"/>
          <w:sz w:val="28"/>
        </w:rPr>
        <w:t> </w:t>
      </w:r>
      <w:r>
        <w:rPr>
          <w:sz w:val="28"/>
        </w:rPr>
        <w:t>là</w:t>
      </w:r>
      <w:r>
        <w:rPr>
          <w:spacing w:val="-2"/>
          <w:sz w:val="28"/>
        </w:rPr>
        <w:t> </w:t>
      </w:r>
      <w:r>
        <w:rPr>
          <w:sz w:val="28"/>
        </w:rPr>
        <w:t>Phan</w:t>
      </w:r>
      <w:r>
        <w:rPr>
          <w:spacing w:val="-1"/>
          <w:sz w:val="28"/>
        </w:rPr>
        <w:t> </w:t>
      </w:r>
      <w:r>
        <w:rPr>
          <w:sz w:val="28"/>
        </w:rPr>
        <w:t>Mã</w:t>
      </w:r>
      <w:r>
        <w:rPr>
          <w:spacing w:val="-2"/>
          <w:sz w:val="28"/>
        </w:rPr>
        <w:t> </w:t>
      </w:r>
      <w:r>
        <w:rPr>
          <w:sz w:val="28"/>
        </w:rPr>
        <w:t>H</w:t>
      </w:r>
      <w:r>
        <w:rPr>
          <w:spacing w:val="-4"/>
          <w:sz w:val="28"/>
        </w:rPr>
        <w:t> </w:t>
      </w:r>
      <w:r>
        <w:rPr>
          <w:sz w:val="28"/>
        </w:rPr>
        <w:t>(nam),</w:t>
      </w:r>
      <w:r>
        <w:rPr>
          <w:spacing w:val="-1"/>
          <w:sz w:val="28"/>
        </w:rPr>
        <w:t> </w:t>
      </w:r>
      <w:r>
        <w:rPr>
          <w:sz w:val="28"/>
        </w:rPr>
        <w:t>sinh</w:t>
      </w:r>
      <w:r>
        <w:rPr>
          <w:spacing w:val="-1"/>
          <w:sz w:val="28"/>
        </w:rPr>
        <w:t> </w:t>
      </w:r>
      <w:r>
        <w:rPr>
          <w:sz w:val="28"/>
        </w:rPr>
        <w:t>ngày 12/7/2019, các đương sự thống nhất giao cháu H cho bà Tú A tiếp tục nuôi dưỡng cho đến khi trưởng thành, ông P không phải cấp dưỡng nuôi con.</w:t>
      </w:r>
    </w:p>
    <w:p>
      <w:pPr>
        <w:pStyle w:val="BodyText"/>
        <w:spacing w:line="290" w:lineRule="auto"/>
        <w:ind w:right="507"/>
      </w:pPr>
      <w:r>
        <w:rPr/>
        <w:t>Dành quyền thăm nom, chăm sóc và giáo dục con chung cho ông Phan Tấn P theo quy định của pháp luật, không ai được quyền ngăn cản.</w:t>
      </w:r>
    </w:p>
    <w:p>
      <w:pPr>
        <w:pStyle w:val="ListParagraph"/>
        <w:numPr>
          <w:ilvl w:val="0"/>
          <w:numId w:val="2"/>
        </w:numPr>
        <w:tabs>
          <w:tab w:pos="1525" w:val="left" w:leader="none"/>
        </w:tabs>
        <w:spacing w:line="290" w:lineRule="auto" w:before="0" w:after="0"/>
        <w:ind w:left="382" w:right="507" w:firstLine="719"/>
        <w:jc w:val="both"/>
        <w:rPr>
          <w:sz w:val="28"/>
        </w:rPr>
      </w:pPr>
      <w:r>
        <w:rPr>
          <w:sz w:val="28"/>
          <w:u w:val="single"/>
        </w:rPr>
        <w:t>Về tài sản chung và nợ chung</w:t>
      </w:r>
      <w:r>
        <w:rPr>
          <w:sz w:val="28"/>
        </w:rPr>
        <w:t>: Các đương sự khai thống nhất không có, không yêu cầu Tòa án giải quyết, nên không đặt ra xem xét giải quyết. Nếu sau này có tranh chấp sẽ tách ra khởi kiện thành vụ án khác.</w:t>
      </w:r>
    </w:p>
    <w:p>
      <w:pPr>
        <w:pStyle w:val="BodyText"/>
        <w:spacing w:line="290" w:lineRule="auto"/>
        <w:ind w:right="516"/>
      </w:pPr>
      <w:r>
        <w:rPr/>
        <w:t>Đã hết thời hạn 07 (bảy) ngày kể từ ngày lập biên bản hòa giải đoàn tụ không thành, không có đương sự nào thay đổi ý kiến về sự thỏa thuận đó.</w:t>
      </w:r>
    </w:p>
    <w:p>
      <w:pPr>
        <w:pStyle w:val="Heading1"/>
        <w:ind w:right="2161"/>
        <w:rPr>
          <w:b w:val="0"/>
        </w:rPr>
      </w:pPr>
      <w:r>
        <w:rPr/>
        <w:t>QUYẾT</w:t>
      </w:r>
      <w:r>
        <w:rPr>
          <w:spacing w:val="-6"/>
        </w:rPr>
        <w:t> </w:t>
      </w:r>
      <w:r>
        <w:rPr>
          <w:spacing w:val="-4"/>
        </w:rPr>
        <w:t>ĐỊNH</w:t>
      </w:r>
      <w:r>
        <w:rPr>
          <w:b w:val="0"/>
          <w:spacing w:val="-4"/>
        </w:rPr>
        <w:t>:</w:t>
      </w:r>
    </w:p>
    <w:p>
      <w:pPr>
        <w:pStyle w:val="ListParagraph"/>
        <w:numPr>
          <w:ilvl w:val="0"/>
          <w:numId w:val="3"/>
        </w:numPr>
        <w:tabs>
          <w:tab w:pos="1388" w:val="left" w:leader="none"/>
        </w:tabs>
        <w:spacing w:line="290" w:lineRule="auto" w:before="64" w:after="0"/>
        <w:ind w:left="382" w:right="513" w:firstLine="719"/>
        <w:jc w:val="both"/>
        <w:rPr>
          <w:sz w:val="28"/>
        </w:rPr>
      </w:pPr>
      <w:r>
        <w:rPr>
          <w:b/>
          <w:sz w:val="28"/>
        </w:rPr>
        <w:t>Công nhận thuận</w:t>
      </w:r>
      <w:r>
        <w:rPr>
          <w:b/>
          <w:spacing w:val="-1"/>
          <w:sz w:val="28"/>
        </w:rPr>
        <w:t> </w:t>
      </w:r>
      <w:r>
        <w:rPr>
          <w:b/>
          <w:sz w:val="28"/>
        </w:rPr>
        <w:t>tình ly hôn và sự thỏa thuận</w:t>
      </w:r>
      <w:r>
        <w:rPr>
          <w:b/>
          <w:spacing w:val="-1"/>
          <w:sz w:val="28"/>
        </w:rPr>
        <w:t> </w:t>
      </w:r>
      <w:r>
        <w:rPr>
          <w:b/>
          <w:sz w:val="28"/>
        </w:rPr>
        <w:t>của các đương sự cụ thể như sau</w:t>
      </w:r>
      <w:r>
        <w:rPr>
          <w:sz w:val="28"/>
        </w:rPr>
        <w:t>:</w:t>
      </w:r>
    </w:p>
    <w:p>
      <w:pPr>
        <w:pStyle w:val="ListParagraph"/>
        <w:numPr>
          <w:ilvl w:val="1"/>
          <w:numId w:val="3"/>
        </w:numPr>
        <w:tabs>
          <w:tab w:pos="1285" w:val="left" w:leader="none"/>
        </w:tabs>
        <w:spacing w:line="290" w:lineRule="auto" w:before="0" w:after="0"/>
        <w:ind w:left="382" w:right="507" w:firstLine="719"/>
        <w:jc w:val="both"/>
        <w:rPr>
          <w:i/>
          <w:sz w:val="28"/>
        </w:rPr>
      </w:pPr>
      <w:r>
        <w:rPr>
          <w:i/>
          <w:sz w:val="28"/>
        </w:rPr>
        <w:t>Về quan hệ hôn nhân</w:t>
      </w:r>
      <w:r>
        <w:rPr>
          <w:sz w:val="28"/>
        </w:rPr>
        <w:t>: Ông Phan Tấn P và bà Mã Thị Tú A thống nhất thuận tình ly hôn.</w:t>
      </w:r>
    </w:p>
    <w:p>
      <w:pPr>
        <w:pStyle w:val="ListParagraph"/>
        <w:numPr>
          <w:ilvl w:val="1"/>
          <w:numId w:val="3"/>
        </w:numPr>
        <w:tabs>
          <w:tab w:pos="1290" w:val="left" w:leader="none"/>
        </w:tabs>
        <w:spacing w:line="290" w:lineRule="auto" w:before="0" w:after="0"/>
        <w:ind w:left="382" w:right="506" w:firstLine="719"/>
        <w:jc w:val="both"/>
        <w:rPr>
          <w:i/>
          <w:sz w:val="28"/>
        </w:rPr>
      </w:pPr>
      <w:r>
        <w:rPr>
          <w:i/>
          <w:sz w:val="28"/>
        </w:rPr>
        <w:t>Về con chung</w:t>
      </w:r>
      <w:r>
        <w:rPr>
          <w:sz w:val="28"/>
        </w:rPr>
        <w:t>: Có 01 (một) con chung là Phan Mã H (nam), sinh ngày 12/7/2019, các đương sự thống nhất giao cháu H cho bà Tú A tiếp tục nuôi dưỡng cho đến khi trưởng thành, ông P không phải cấp dưỡng nuôi con.</w:t>
      </w:r>
    </w:p>
    <w:p>
      <w:pPr>
        <w:pStyle w:val="BodyText"/>
        <w:spacing w:line="292" w:lineRule="auto"/>
        <w:ind w:right="507"/>
      </w:pPr>
      <w:r>
        <w:rPr/>
        <w:t>Dành quyền thăm nom, chăm sóc và giáo dục con chung cho ông Phan Tấn P theo quy định của pháp luật, không ai được quyền ngăn cản.</w:t>
      </w:r>
    </w:p>
    <w:p>
      <w:pPr>
        <w:pStyle w:val="ListParagraph"/>
        <w:numPr>
          <w:ilvl w:val="1"/>
          <w:numId w:val="3"/>
        </w:numPr>
        <w:tabs>
          <w:tab w:pos="1278" w:val="left" w:leader="none"/>
        </w:tabs>
        <w:spacing w:line="290" w:lineRule="auto" w:before="0" w:after="0"/>
        <w:ind w:left="382" w:right="507" w:firstLine="719"/>
        <w:jc w:val="both"/>
        <w:rPr>
          <w:sz w:val="28"/>
        </w:rPr>
      </w:pPr>
      <w:r>
        <w:rPr>
          <w:i/>
          <w:sz w:val="28"/>
        </w:rPr>
        <w:t>Về tài sản chung và nợ chung: </w:t>
      </w:r>
      <w:r>
        <w:rPr>
          <w:sz w:val="28"/>
        </w:rPr>
        <w:t>Các đương sự khai thống nhất không có, không yêu cầu Tòa án giải quyết, nên không đặt ra xem xét giải quyết. Nếu sau này có tranh chấp sẽ tách ra khởi kiện thành vụ án khác.</w:t>
      </w:r>
    </w:p>
    <w:p>
      <w:pPr>
        <w:pStyle w:val="ListParagraph"/>
        <w:numPr>
          <w:ilvl w:val="0"/>
          <w:numId w:val="3"/>
        </w:numPr>
        <w:tabs>
          <w:tab w:pos="1392" w:val="left" w:leader="none"/>
        </w:tabs>
        <w:spacing w:line="290" w:lineRule="auto" w:before="0" w:after="0"/>
        <w:ind w:left="382" w:right="505" w:firstLine="719"/>
        <w:jc w:val="both"/>
        <w:rPr>
          <w:sz w:val="28"/>
        </w:rPr>
      </w:pPr>
      <w:r>
        <w:rPr>
          <w:b/>
          <w:sz w:val="28"/>
        </w:rPr>
        <w:t>Về lệ phí Tòa án: </w:t>
      </w:r>
      <w:r>
        <w:rPr>
          <w:sz w:val="28"/>
        </w:rPr>
        <w:t>Ông Phan Tấn P và bà Mã Thị Tú A mỗi người nộp 150.000đ (Một trăm</w:t>
      </w:r>
      <w:r>
        <w:rPr>
          <w:spacing w:val="-4"/>
          <w:sz w:val="28"/>
        </w:rPr>
        <w:t> </w:t>
      </w:r>
      <w:r>
        <w:rPr>
          <w:sz w:val="28"/>
        </w:rPr>
        <w:t>năm</w:t>
      </w:r>
      <w:r>
        <w:rPr>
          <w:spacing w:val="-5"/>
          <w:sz w:val="28"/>
        </w:rPr>
        <w:t> </w:t>
      </w:r>
      <w:r>
        <w:rPr>
          <w:sz w:val="28"/>
        </w:rPr>
        <w:t>mươi nghìn</w:t>
      </w:r>
      <w:r>
        <w:rPr>
          <w:spacing w:val="-4"/>
          <w:sz w:val="28"/>
        </w:rPr>
        <w:t> </w:t>
      </w:r>
      <w:r>
        <w:rPr>
          <w:sz w:val="28"/>
        </w:rPr>
        <w:t>đồng),</w:t>
      </w:r>
      <w:r>
        <w:rPr>
          <w:spacing w:val="-2"/>
          <w:sz w:val="28"/>
        </w:rPr>
        <w:t> </w:t>
      </w:r>
      <w:r>
        <w:rPr>
          <w:sz w:val="28"/>
        </w:rPr>
        <w:t>nhưng được</w:t>
      </w:r>
      <w:r>
        <w:rPr>
          <w:spacing w:val="-1"/>
          <w:sz w:val="28"/>
        </w:rPr>
        <w:t> </w:t>
      </w:r>
      <w:r>
        <w:rPr>
          <w:sz w:val="28"/>
        </w:rPr>
        <w:t>trừ</w:t>
      </w:r>
      <w:r>
        <w:rPr>
          <w:spacing w:val="-2"/>
          <w:sz w:val="28"/>
        </w:rPr>
        <w:t> </w:t>
      </w:r>
      <w:r>
        <w:rPr>
          <w:sz w:val="28"/>
        </w:rPr>
        <w:t>vào số</w:t>
      </w:r>
      <w:r>
        <w:rPr>
          <w:spacing w:val="-1"/>
          <w:sz w:val="28"/>
        </w:rPr>
        <w:t> </w:t>
      </w:r>
      <w:r>
        <w:rPr>
          <w:sz w:val="28"/>
        </w:rPr>
        <w:t>tiền tạm</w:t>
      </w:r>
      <w:r>
        <w:rPr>
          <w:spacing w:val="-4"/>
          <w:sz w:val="28"/>
        </w:rPr>
        <w:t> </w:t>
      </w:r>
      <w:r>
        <w:rPr>
          <w:sz w:val="28"/>
        </w:rPr>
        <w:t>ứng lệ phí đã nộp là 300.000đ (Ba trăm nghìn đồng) theo biên lai thu tiền số</w:t>
      </w:r>
      <w:r>
        <w:rPr>
          <w:spacing w:val="80"/>
          <w:sz w:val="28"/>
        </w:rPr>
        <w:t> </w:t>
      </w:r>
      <w:r>
        <w:rPr>
          <w:sz w:val="28"/>
        </w:rPr>
        <w:t>0008737 ngày 02 tháng 11 năm 2022 của Chi cục Thi hành án dân sự quận C, thành phố T; ông P và bà Tú A đã nộp xong lệ phí.</w:t>
      </w:r>
    </w:p>
    <w:p>
      <w:pPr>
        <w:pStyle w:val="ListParagraph"/>
        <w:numPr>
          <w:ilvl w:val="0"/>
          <w:numId w:val="3"/>
        </w:numPr>
        <w:tabs>
          <w:tab w:pos="1410" w:val="left" w:leader="none"/>
        </w:tabs>
        <w:spacing w:line="292" w:lineRule="auto" w:before="0" w:after="0"/>
        <w:ind w:left="382" w:right="510" w:firstLine="719"/>
        <w:jc w:val="both"/>
        <w:rPr>
          <w:sz w:val="28"/>
        </w:rPr>
      </w:pPr>
      <w:r>
        <w:rPr>
          <w:sz w:val="28"/>
        </w:rPr>
        <w:t>Quyết định này có hiệu lực pháp luật ngay sau khi được ban hành và không bị kháng cáo, kháng nghị theo thủ tục phúc thẩm./.</w:t>
      </w:r>
    </w:p>
    <w:p>
      <w:pPr>
        <w:tabs>
          <w:tab w:pos="6879" w:val="left" w:leader="none"/>
        </w:tabs>
        <w:spacing w:line="320" w:lineRule="exact" w:before="223"/>
        <w:ind w:left="730" w:right="0" w:firstLine="0"/>
        <w:jc w:val="left"/>
        <w:rPr>
          <w:b/>
          <w:sz w:val="28"/>
        </w:rPr>
      </w:pPr>
      <w:r>
        <w:rPr>
          <w:b/>
          <w:i/>
          <w:sz w:val="22"/>
        </w:rPr>
        <w:t>*</w:t>
      </w:r>
      <w:r>
        <w:rPr>
          <w:b/>
          <w:i/>
          <w:spacing w:val="-4"/>
          <w:sz w:val="22"/>
        </w:rPr>
        <w:t> </w:t>
      </w:r>
      <w:r>
        <w:rPr>
          <w:b/>
          <w:i/>
          <w:sz w:val="22"/>
          <w:u w:val="single"/>
        </w:rPr>
        <w:t>Nơi </w:t>
      </w:r>
      <w:r>
        <w:rPr>
          <w:b/>
          <w:i/>
          <w:spacing w:val="-2"/>
          <w:sz w:val="22"/>
          <w:u w:val="single"/>
        </w:rPr>
        <w:t>nhận</w:t>
      </w:r>
      <w:r>
        <w:rPr>
          <w:spacing w:val="-2"/>
          <w:sz w:val="26"/>
        </w:rPr>
        <w:t>:</w:t>
      </w:r>
      <w:r>
        <w:rPr>
          <w:sz w:val="26"/>
        </w:rPr>
        <w:tab/>
      </w:r>
      <w:r>
        <w:rPr>
          <w:b/>
          <w:sz w:val="28"/>
        </w:rPr>
        <w:t>THẨM</w:t>
      </w:r>
      <w:r>
        <w:rPr>
          <w:b/>
          <w:spacing w:val="-1"/>
          <w:sz w:val="28"/>
        </w:rPr>
        <w:t> </w:t>
      </w:r>
      <w:r>
        <w:rPr>
          <w:b/>
          <w:spacing w:val="-4"/>
          <w:sz w:val="28"/>
        </w:rPr>
        <w:t>PHÁN</w:t>
      </w:r>
    </w:p>
    <w:p>
      <w:pPr>
        <w:pStyle w:val="ListParagraph"/>
        <w:numPr>
          <w:ilvl w:val="0"/>
          <w:numId w:val="4"/>
        </w:numPr>
        <w:tabs>
          <w:tab w:pos="867" w:val="left" w:leader="none"/>
        </w:tabs>
        <w:spacing w:line="250" w:lineRule="exact" w:before="0" w:after="0"/>
        <w:ind w:left="866" w:right="0" w:hanging="126"/>
        <w:jc w:val="left"/>
        <w:rPr>
          <w:sz w:val="22"/>
        </w:rPr>
      </w:pPr>
      <w:r>
        <w:rPr>
          <w:sz w:val="22"/>
        </w:rPr>
        <w:t>TAND</w:t>
      </w:r>
      <w:r>
        <w:rPr>
          <w:spacing w:val="-4"/>
          <w:sz w:val="22"/>
        </w:rPr>
        <w:t> </w:t>
      </w:r>
      <w:r>
        <w:rPr>
          <w:spacing w:val="-2"/>
          <w:sz w:val="22"/>
        </w:rPr>
        <w:t>TP.CT;</w:t>
      </w:r>
    </w:p>
    <w:p>
      <w:pPr>
        <w:pStyle w:val="ListParagraph"/>
        <w:numPr>
          <w:ilvl w:val="0"/>
          <w:numId w:val="4"/>
        </w:numPr>
        <w:tabs>
          <w:tab w:pos="867" w:val="left" w:leader="none"/>
        </w:tabs>
        <w:spacing w:line="252" w:lineRule="exact" w:before="0" w:after="0"/>
        <w:ind w:left="866" w:right="0" w:hanging="126"/>
        <w:jc w:val="left"/>
        <w:rPr>
          <w:sz w:val="22"/>
        </w:rPr>
      </w:pPr>
      <w:r>
        <w:rPr>
          <w:sz w:val="22"/>
        </w:rPr>
        <w:t>VKSND</w:t>
      </w:r>
      <w:r>
        <w:rPr>
          <w:spacing w:val="-1"/>
          <w:sz w:val="22"/>
        </w:rPr>
        <w:t> </w:t>
      </w:r>
      <w:r>
        <w:rPr>
          <w:spacing w:val="-2"/>
          <w:sz w:val="22"/>
        </w:rPr>
        <w:t>Q.CR;</w:t>
      </w:r>
    </w:p>
    <w:p>
      <w:pPr>
        <w:pStyle w:val="ListParagraph"/>
        <w:numPr>
          <w:ilvl w:val="0"/>
          <w:numId w:val="4"/>
        </w:numPr>
        <w:tabs>
          <w:tab w:pos="870" w:val="left" w:leader="none"/>
        </w:tabs>
        <w:spacing w:line="252" w:lineRule="exact" w:before="2" w:after="0"/>
        <w:ind w:left="869"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Q.CR;</w:t>
      </w:r>
    </w:p>
    <w:p>
      <w:pPr>
        <w:pStyle w:val="ListParagraph"/>
        <w:numPr>
          <w:ilvl w:val="0"/>
          <w:numId w:val="4"/>
        </w:numPr>
        <w:tabs>
          <w:tab w:pos="870" w:val="left" w:leader="none"/>
        </w:tabs>
        <w:spacing w:line="252" w:lineRule="exact" w:before="0" w:after="0"/>
        <w:ind w:left="869" w:right="0" w:hanging="129"/>
        <w:jc w:val="left"/>
        <w:rPr>
          <w:sz w:val="22"/>
        </w:rPr>
      </w:pPr>
      <w:r>
        <w:rPr>
          <w:sz w:val="22"/>
        </w:rPr>
        <w:t>UBND</w:t>
      </w:r>
      <w:r>
        <w:rPr>
          <w:spacing w:val="-4"/>
          <w:sz w:val="22"/>
        </w:rPr>
        <w:t> </w:t>
      </w:r>
      <w:r>
        <w:rPr>
          <w:sz w:val="22"/>
        </w:rPr>
        <w:t>P.Tân</w:t>
      </w:r>
      <w:r>
        <w:rPr>
          <w:spacing w:val="-2"/>
          <w:sz w:val="22"/>
        </w:rPr>
        <w:t> </w:t>
      </w:r>
      <w:r>
        <w:rPr>
          <w:spacing w:val="-4"/>
          <w:sz w:val="22"/>
        </w:rPr>
        <w:t>Phú;</w:t>
      </w:r>
    </w:p>
    <w:p>
      <w:pPr>
        <w:pStyle w:val="ListParagraph"/>
        <w:numPr>
          <w:ilvl w:val="0"/>
          <w:numId w:val="4"/>
        </w:numPr>
        <w:tabs>
          <w:tab w:pos="867" w:val="left" w:leader="none"/>
        </w:tabs>
        <w:spacing w:line="252" w:lineRule="exact" w:before="0" w:after="0"/>
        <w:ind w:left="866" w:right="0" w:hanging="128"/>
        <w:jc w:val="left"/>
        <w:rPr>
          <w:sz w:val="22"/>
        </w:rPr>
      </w:pPr>
      <w:r>
        <w:rPr>
          <w:sz w:val="22"/>
        </w:rPr>
        <w:t>Đương</w:t>
      </w:r>
      <w:r>
        <w:rPr>
          <w:spacing w:val="-5"/>
          <w:sz w:val="22"/>
        </w:rPr>
        <w:t> sự;</w:t>
      </w:r>
    </w:p>
    <w:p>
      <w:pPr>
        <w:pStyle w:val="ListParagraph"/>
        <w:numPr>
          <w:ilvl w:val="0"/>
          <w:numId w:val="4"/>
        </w:numPr>
        <w:tabs>
          <w:tab w:pos="865" w:val="left" w:leader="none"/>
          <w:tab w:pos="6942" w:val="left" w:leader="none"/>
        </w:tabs>
        <w:spacing w:line="240" w:lineRule="auto" w:before="5" w:after="0"/>
        <w:ind w:left="864" w:right="0" w:hanging="126"/>
        <w:jc w:val="left"/>
        <w:rPr>
          <w:b/>
          <w:sz w:val="28"/>
        </w:rPr>
      </w:pPr>
      <w:r>
        <w:rPr>
          <w:sz w:val="22"/>
        </w:rPr>
        <w:t>Lưu </w:t>
      </w:r>
      <w:r>
        <w:rPr>
          <w:spacing w:val="-5"/>
          <w:sz w:val="22"/>
        </w:rPr>
        <w:t>HS.</w:t>
      </w:r>
      <w:r>
        <w:rPr>
          <w:sz w:val="22"/>
        </w:rPr>
        <w:tab/>
      </w:r>
      <w:r>
        <w:rPr>
          <w:b/>
          <w:sz w:val="28"/>
        </w:rPr>
        <w:t>Phan</w:t>
      </w:r>
      <w:r>
        <w:rPr>
          <w:b/>
          <w:spacing w:val="-3"/>
          <w:sz w:val="28"/>
        </w:rPr>
        <w:t> </w:t>
      </w:r>
      <w:r>
        <w:rPr>
          <w:b/>
          <w:sz w:val="28"/>
        </w:rPr>
        <w:t>Vũ</w:t>
      </w:r>
      <w:r>
        <w:rPr>
          <w:b/>
          <w:spacing w:val="-2"/>
          <w:sz w:val="28"/>
        </w:rPr>
        <w:t> </w:t>
      </w:r>
      <w:r>
        <w:rPr>
          <w:b/>
          <w:spacing w:val="-4"/>
          <w:sz w:val="28"/>
        </w:rPr>
        <w:t>Linh</w:t>
      </w:r>
    </w:p>
    <w:sectPr>
      <w:pgSz w:w="11910" w:h="16850"/>
      <w:pgMar w:header="0" w:footer="791" w:top="1060" w:bottom="980" w:left="13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777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70" w:hanging="125"/>
      </w:pPr>
      <w:rPr>
        <w:rFonts w:hint="default"/>
        <w:lang w:val="vi" w:eastAsia="en-US" w:bidi="ar-SA"/>
      </w:rPr>
    </w:lvl>
    <w:lvl w:ilvl="2">
      <w:start w:val="0"/>
      <w:numFmt w:val="bullet"/>
      <w:lvlText w:val="•"/>
      <w:lvlJc w:val="left"/>
      <w:pPr>
        <w:ind w:left="2681" w:hanging="125"/>
      </w:pPr>
      <w:rPr>
        <w:rFonts w:hint="default"/>
        <w:lang w:val="vi" w:eastAsia="en-US" w:bidi="ar-SA"/>
      </w:rPr>
    </w:lvl>
    <w:lvl w:ilvl="3">
      <w:start w:val="0"/>
      <w:numFmt w:val="bullet"/>
      <w:lvlText w:val="•"/>
      <w:lvlJc w:val="left"/>
      <w:pPr>
        <w:ind w:left="3591" w:hanging="125"/>
      </w:pPr>
      <w:rPr>
        <w:rFonts w:hint="default"/>
        <w:lang w:val="vi" w:eastAsia="en-US" w:bidi="ar-SA"/>
      </w:rPr>
    </w:lvl>
    <w:lvl w:ilvl="4">
      <w:start w:val="0"/>
      <w:numFmt w:val="bullet"/>
      <w:lvlText w:val="•"/>
      <w:lvlJc w:val="left"/>
      <w:pPr>
        <w:ind w:left="4502" w:hanging="125"/>
      </w:pPr>
      <w:rPr>
        <w:rFonts w:hint="default"/>
        <w:lang w:val="vi" w:eastAsia="en-US" w:bidi="ar-SA"/>
      </w:rPr>
    </w:lvl>
    <w:lvl w:ilvl="5">
      <w:start w:val="0"/>
      <w:numFmt w:val="bullet"/>
      <w:lvlText w:val="•"/>
      <w:lvlJc w:val="left"/>
      <w:pPr>
        <w:ind w:left="5413" w:hanging="125"/>
      </w:pPr>
      <w:rPr>
        <w:rFonts w:hint="default"/>
        <w:lang w:val="vi" w:eastAsia="en-US" w:bidi="ar-SA"/>
      </w:rPr>
    </w:lvl>
    <w:lvl w:ilvl="6">
      <w:start w:val="0"/>
      <w:numFmt w:val="bullet"/>
      <w:lvlText w:val="•"/>
      <w:lvlJc w:val="left"/>
      <w:pPr>
        <w:ind w:left="6323" w:hanging="125"/>
      </w:pPr>
      <w:rPr>
        <w:rFonts w:hint="default"/>
        <w:lang w:val="vi" w:eastAsia="en-US" w:bidi="ar-SA"/>
      </w:rPr>
    </w:lvl>
    <w:lvl w:ilvl="7">
      <w:start w:val="0"/>
      <w:numFmt w:val="bullet"/>
      <w:lvlText w:val="•"/>
      <w:lvlJc w:val="left"/>
      <w:pPr>
        <w:ind w:left="7234" w:hanging="125"/>
      </w:pPr>
      <w:rPr>
        <w:rFonts w:hint="default"/>
        <w:lang w:val="vi" w:eastAsia="en-US" w:bidi="ar-SA"/>
      </w:rPr>
    </w:lvl>
    <w:lvl w:ilvl="8">
      <w:start w:val="0"/>
      <w:numFmt w:val="bullet"/>
      <w:lvlText w:val="•"/>
      <w:lvlJc w:val="left"/>
      <w:pPr>
        <w:ind w:left="8145" w:hanging="125"/>
      </w:pPr>
      <w:rPr>
        <w:rFonts w:hint="default"/>
        <w:lang w:val="vi" w:eastAsia="en-US" w:bidi="ar-SA"/>
      </w:rPr>
    </w:lvl>
  </w:abstractNum>
  <w:abstractNum w:abstractNumId="2">
    <w:multiLevelType w:val="hybridMultilevel"/>
    <w:lvl w:ilvl="0">
      <w:start w:val="1"/>
      <w:numFmt w:val="decimal"/>
      <w:lvlText w:val="%1."/>
      <w:lvlJc w:val="left"/>
      <w:pPr>
        <w:ind w:left="38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8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297" w:hanging="183"/>
      </w:pPr>
      <w:rPr>
        <w:rFonts w:hint="default"/>
        <w:lang w:val="vi" w:eastAsia="en-US" w:bidi="ar-SA"/>
      </w:rPr>
    </w:lvl>
    <w:lvl w:ilvl="3">
      <w:start w:val="0"/>
      <w:numFmt w:val="bullet"/>
      <w:lvlText w:val="•"/>
      <w:lvlJc w:val="left"/>
      <w:pPr>
        <w:ind w:left="3255" w:hanging="183"/>
      </w:pPr>
      <w:rPr>
        <w:rFonts w:hint="default"/>
        <w:lang w:val="vi" w:eastAsia="en-US" w:bidi="ar-SA"/>
      </w:rPr>
    </w:lvl>
    <w:lvl w:ilvl="4">
      <w:start w:val="0"/>
      <w:numFmt w:val="bullet"/>
      <w:lvlText w:val="•"/>
      <w:lvlJc w:val="left"/>
      <w:pPr>
        <w:ind w:left="4214" w:hanging="183"/>
      </w:pPr>
      <w:rPr>
        <w:rFonts w:hint="default"/>
        <w:lang w:val="vi" w:eastAsia="en-US" w:bidi="ar-SA"/>
      </w:rPr>
    </w:lvl>
    <w:lvl w:ilvl="5">
      <w:start w:val="0"/>
      <w:numFmt w:val="bullet"/>
      <w:lvlText w:val="•"/>
      <w:lvlJc w:val="left"/>
      <w:pPr>
        <w:ind w:left="5173" w:hanging="183"/>
      </w:pPr>
      <w:rPr>
        <w:rFonts w:hint="default"/>
        <w:lang w:val="vi" w:eastAsia="en-US" w:bidi="ar-SA"/>
      </w:rPr>
    </w:lvl>
    <w:lvl w:ilvl="6">
      <w:start w:val="0"/>
      <w:numFmt w:val="bullet"/>
      <w:lvlText w:val="•"/>
      <w:lvlJc w:val="left"/>
      <w:pPr>
        <w:ind w:left="6131" w:hanging="183"/>
      </w:pPr>
      <w:rPr>
        <w:rFonts w:hint="default"/>
        <w:lang w:val="vi" w:eastAsia="en-US" w:bidi="ar-SA"/>
      </w:rPr>
    </w:lvl>
    <w:lvl w:ilvl="7">
      <w:start w:val="0"/>
      <w:numFmt w:val="bullet"/>
      <w:lvlText w:val="•"/>
      <w:lvlJc w:val="left"/>
      <w:pPr>
        <w:ind w:left="7090" w:hanging="183"/>
      </w:pPr>
      <w:rPr>
        <w:rFonts w:hint="default"/>
        <w:lang w:val="vi" w:eastAsia="en-US" w:bidi="ar-SA"/>
      </w:rPr>
    </w:lvl>
    <w:lvl w:ilvl="8">
      <w:start w:val="0"/>
      <w:numFmt w:val="bullet"/>
      <w:lvlText w:val="•"/>
      <w:lvlJc w:val="left"/>
      <w:pPr>
        <w:ind w:left="8049" w:hanging="183"/>
      </w:pPr>
      <w:rPr>
        <w:rFonts w:hint="default"/>
        <w:lang w:val="vi" w:eastAsia="en-US" w:bidi="ar-SA"/>
      </w:rPr>
    </w:lvl>
  </w:abstractNum>
  <w:abstractNum w:abstractNumId="1">
    <w:multiLevelType w:val="hybridMultilevel"/>
    <w:lvl w:ilvl="0">
      <w:start w:val="1"/>
      <w:numFmt w:val="decimal"/>
      <w:lvlText w:val="[%1]"/>
      <w:lvlJc w:val="left"/>
      <w:pPr>
        <w:ind w:left="38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8" w:hanging="406"/>
      </w:pPr>
      <w:rPr>
        <w:rFonts w:hint="default"/>
        <w:lang w:val="vi" w:eastAsia="en-US" w:bidi="ar-SA"/>
      </w:rPr>
    </w:lvl>
    <w:lvl w:ilvl="2">
      <w:start w:val="0"/>
      <w:numFmt w:val="bullet"/>
      <w:lvlText w:val="•"/>
      <w:lvlJc w:val="left"/>
      <w:pPr>
        <w:ind w:left="2297" w:hanging="406"/>
      </w:pPr>
      <w:rPr>
        <w:rFonts w:hint="default"/>
        <w:lang w:val="vi" w:eastAsia="en-US" w:bidi="ar-SA"/>
      </w:rPr>
    </w:lvl>
    <w:lvl w:ilvl="3">
      <w:start w:val="0"/>
      <w:numFmt w:val="bullet"/>
      <w:lvlText w:val="•"/>
      <w:lvlJc w:val="left"/>
      <w:pPr>
        <w:ind w:left="3255" w:hanging="406"/>
      </w:pPr>
      <w:rPr>
        <w:rFonts w:hint="default"/>
        <w:lang w:val="vi" w:eastAsia="en-US" w:bidi="ar-SA"/>
      </w:rPr>
    </w:lvl>
    <w:lvl w:ilvl="4">
      <w:start w:val="0"/>
      <w:numFmt w:val="bullet"/>
      <w:lvlText w:val="•"/>
      <w:lvlJc w:val="left"/>
      <w:pPr>
        <w:ind w:left="4214" w:hanging="406"/>
      </w:pPr>
      <w:rPr>
        <w:rFonts w:hint="default"/>
        <w:lang w:val="vi" w:eastAsia="en-US" w:bidi="ar-SA"/>
      </w:rPr>
    </w:lvl>
    <w:lvl w:ilvl="5">
      <w:start w:val="0"/>
      <w:numFmt w:val="bullet"/>
      <w:lvlText w:val="•"/>
      <w:lvlJc w:val="left"/>
      <w:pPr>
        <w:ind w:left="5173" w:hanging="406"/>
      </w:pPr>
      <w:rPr>
        <w:rFonts w:hint="default"/>
        <w:lang w:val="vi" w:eastAsia="en-US" w:bidi="ar-SA"/>
      </w:rPr>
    </w:lvl>
    <w:lvl w:ilvl="6">
      <w:start w:val="0"/>
      <w:numFmt w:val="bullet"/>
      <w:lvlText w:val="•"/>
      <w:lvlJc w:val="left"/>
      <w:pPr>
        <w:ind w:left="6131" w:hanging="406"/>
      </w:pPr>
      <w:rPr>
        <w:rFonts w:hint="default"/>
        <w:lang w:val="vi" w:eastAsia="en-US" w:bidi="ar-SA"/>
      </w:rPr>
    </w:lvl>
    <w:lvl w:ilvl="7">
      <w:start w:val="0"/>
      <w:numFmt w:val="bullet"/>
      <w:lvlText w:val="•"/>
      <w:lvlJc w:val="left"/>
      <w:pPr>
        <w:ind w:left="7090" w:hanging="406"/>
      </w:pPr>
      <w:rPr>
        <w:rFonts w:hint="default"/>
        <w:lang w:val="vi" w:eastAsia="en-US" w:bidi="ar-SA"/>
      </w:rPr>
    </w:lvl>
    <w:lvl w:ilvl="8">
      <w:start w:val="0"/>
      <w:numFmt w:val="bullet"/>
      <w:lvlText w:val="•"/>
      <w:lvlJc w:val="left"/>
      <w:pPr>
        <w:ind w:left="8049" w:hanging="406"/>
      </w:pPr>
      <w:rPr>
        <w:rFonts w:hint="default"/>
        <w:lang w:val="vi" w:eastAsia="en-US" w:bidi="ar-SA"/>
      </w:rPr>
    </w:lvl>
  </w:abstractNum>
  <w:abstractNum w:abstractNumId="0">
    <w:multiLevelType w:val="hybridMultilevel"/>
    <w:lvl w:ilvl="0">
      <w:start w:val="0"/>
      <w:numFmt w:val="bullet"/>
      <w:lvlText w:val="-"/>
      <w:lvlJc w:val="left"/>
      <w:pPr>
        <w:ind w:left="126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30" w:hanging="164"/>
      </w:pPr>
      <w:rPr>
        <w:rFonts w:hint="default"/>
        <w:lang w:val="vi" w:eastAsia="en-US" w:bidi="ar-SA"/>
      </w:rPr>
    </w:lvl>
    <w:lvl w:ilvl="2">
      <w:start w:val="0"/>
      <w:numFmt w:val="bullet"/>
      <w:lvlText w:val="•"/>
      <w:lvlJc w:val="left"/>
      <w:pPr>
        <w:ind w:left="3001" w:hanging="164"/>
      </w:pPr>
      <w:rPr>
        <w:rFonts w:hint="default"/>
        <w:lang w:val="vi" w:eastAsia="en-US" w:bidi="ar-SA"/>
      </w:rPr>
    </w:lvl>
    <w:lvl w:ilvl="3">
      <w:start w:val="0"/>
      <w:numFmt w:val="bullet"/>
      <w:lvlText w:val="•"/>
      <w:lvlJc w:val="left"/>
      <w:pPr>
        <w:ind w:left="3871" w:hanging="164"/>
      </w:pPr>
      <w:rPr>
        <w:rFonts w:hint="default"/>
        <w:lang w:val="vi" w:eastAsia="en-US" w:bidi="ar-SA"/>
      </w:rPr>
    </w:lvl>
    <w:lvl w:ilvl="4">
      <w:start w:val="0"/>
      <w:numFmt w:val="bullet"/>
      <w:lvlText w:val="•"/>
      <w:lvlJc w:val="left"/>
      <w:pPr>
        <w:ind w:left="4742" w:hanging="164"/>
      </w:pPr>
      <w:rPr>
        <w:rFonts w:hint="default"/>
        <w:lang w:val="vi" w:eastAsia="en-US" w:bidi="ar-SA"/>
      </w:rPr>
    </w:lvl>
    <w:lvl w:ilvl="5">
      <w:start w:val="0"/>
      <w:numFmt w:val="bullet"/>
      <w:lvlText w:val="•"/>
      <w:lvlJc w:val="left"/>
      <w:pPr>
        <w:ind w:left="5613" w:hanging="164"/>
      </w:pPr>
      <w:rPr>
        <w:rFonts w:hint="default"/>
        <w:lang w:val="vi" w:eastAsia="en-US" w:bidi="ar-SA"/>
      </w:rPr>
    </w:lvl>
    <w:lvl w:ilvl="6">
      <w:start w:val="0"/>
      <w:numFmt w:val="bullet"/>
      <w:lvlText w:val="•"/>
      <w:lvlJc w:val="left"/>
      <w:pPr>
        <w:ind w:left="6483" w:hanging="164"/>
      </w:pPr>
      <w:rPr>
        <w:rFonts w:hint="default"/>
        <w:lang w:val="vi" w:eastAsia="en-US" w:bidi="ar-SA"/>
      </w:rPr>
    </w:lvl>
    <w:lvl w:ilvl="7">
      <w:start w:val="0"/>
      <w:numFmt w:val="bullet"/>
      <w:lvlText w:val="•"/>
      <w:lvlJc w:val="left"/>
      <w:pPr>
        <w:ind w:left="7354" w:hanging="164"/>
      </w:pPr>
      <w:rPr>
        <w:rFonts w:hint="default"/>
        <w:lang w:val="vi" w:eastAsia="en-US" w:bidi="ar-SA"/>
      </w:rPr>
    </w:lvl>
    <w:lvl w:ilvl="8">
      <w:start w:val="0"/>
      <w:numFmt w:val="bullet"/>
      <w:lvlText w:val="•"/>
      <w:lvlJc w:val="left"/>
      <w:pPr>
        <w:ind w:left="822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34" w:right="216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6" w:line="367" w:lineRule="exact"/>
      <w:ind w:left="3889" w:right="401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2023-04-24T20:03:10Z</dcterms:created>
  <dcterms:modified xsi:type="dcterms:W3CDTF">2023-04-24T20:03:10Z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