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6"/>
        <w:gridCol w:w="5900"/>
      </w:tblGrid>
      <w:tr>
        <w:trPr>
          <w:trHeight w:val="991" w:hRule="atLeast"/>
        </w:trPr>
        <w:tc>
          <w:tcPr>
            <w:tcW w:w="2986" w:type="dxa"/>
          </w:tcPr>
          <w:p>
            <w:pPr>
              <w:pStyle w:val="TableParagraph"/>
              <w:ind w:left="50" w:right="286" w:firstLine="1"/>
              <w:jc w:val="center"/>
              <w:rPr>
                <w:b/>
                <w:sz w:val="26"/>
              </w:rPr>
            </w:pPr>
            <w:r>
              <w:rPr>
                <w:b/>
                <w:sz w:val="26"/>
              </w:rPr>
              <w:t>TÒA ÁN NHÂN DÂN HUYỆN</w:t>
            </w:r>
            <w:r>
              <w:rPr>
                <w:b/>
                <w:spacing w:val="-17"/>
                <w:sz w:val="26"/>
              </w:rPr>
              <w:t> </w:t>
            </w:r>
            <w:r>
              <w:rPr>
                <w:b/>
                <w:sz w:val="26"/>
              </w:rPr>
              <w:t>HƯƠNG</w:t>
            </w:r>
            <w:r>
              <w:rPr>
                <w:b/>
                <w:spacing w:val="-16"/>
                <w:sz w:val="26"/>
              </w:rPr>
              <w:t> </w:t>
            </w:r>
            <w:r>
              <w:rPr>
                <w:b/>
                <w:sz w:val="26"/>
              </w:rPr>
              <w:t>KHÊ TỈ</w:t>
            </w:r>
            <w:r>
              <w:rPr>
                <w:b/>
                <w:sz w:val="26"/>
                <w:u w:val="single"/>
              </w:rPr>
              <w:t>NH HÀ TĨ</w:t>
            </w:r>
            <w:r>
              <w:rPr>
                <w:b/>
                <w:sz w:val="26"/>
              </w:rPr>
              <w:t>NH</w:t>
            </w:r>
          </w:p>
        </w:tc>
        <w:tc>
          <w:tcPr>
            <w:tcW w:w="5900" w:type="dxa"/>
          </w:tcPr>
          <w:p>
            <w:pPr>
              <w:pStyle w:val="TableParagraph"/>
              <w:spacing w:line="287" w:lineRule="exact"/>
              <w:ind w:left="293" w:right="20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93" w:right="19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419" w:hRule="atLeast"/>
        </w:trPr>
        <w:tc>
          <w:tcPr>
            <w:tcW w:w="2986" w:type="dxa"/>
          </w:tcPr>
          <w:p>
            <w:pPr>
              <w:pStyle w:val="TableParagraph"/>
              <w:spacing w:before="96"/>
              <w:ind w:left="52"/>
              <w:rPr>
                <w:sz w:val="24"/>
              </w:rPr>
            </w:pPr>
            <w:r>
              <w:rPr>
                <w:sz w:val="24"/>
              </w:rPr>
              <w:t>Số:</w:t>
            </w:r>
            <w:r>
              <w:rPr>
                <w:spacing w:val="-3"/>
                <w:sz w:val="24"/>
              </w:rPr>
              <w:t> </w:t>
            </w:r>
            <w:r>
              <w:rPr>
                <w:sz w:val="24"/>
              </w:rPr>
              <w:t>02/2022/QĐST-</w:t>
            </w:r>
            <w:r>
              <w:rPr>
                <w:spacing w:val="-4"/>
                <w:sz w:val="24"/>
              </w:rPr>
              <w:t>KDTM</w:t>
            </w:r>
          </w:p>
        </w:tc>
        <w:tc>
          <w:tcPr>
            <w:tcW w:w="5900" w:type="dxa"/>
          </w:tcPr>
          <w:p>
            <w:pPr>
              <w:pStyle w:val="TableParagraph"/>
              <w:spacing w:line="302" w:lineRule="exact" w:before="97"/>
              <w:ind w:left="1195"/>
              <w:rPr>
                <w:i/>
                <w:sz w:val="28"/>
              </w:rPr>
            </w:pPr>
            <w:r>
              <w:rPr>
                <w:i/>
                <w:sz w:val="28"/>
              </w:rPr>
              <w:t>Hương</w:t>
            </w:r>
            <w:r>
              <w:rPr>
                <w:i/>
                <w:spacing w:val="-4"/>
                <w:sz w:val="28"/>
              </w:rPr>
              <w:t> </w:t>
            </w:r>
            <w:r>
              <w:rPr>
                <w:i/>
                <w:sz w:val="28"/>
              </w:rPr>
              <w:t>Khê,</w:t>
            </w:r>
            <w:r>
              <w:rPr>
                <w:i/>
                <w:spacing w:val="-3"/>
                <w:sz w:val="28"/>
              </w:rPr>
              <w:t> </w:t>
            </w:r>
            <w:r>
              <w:rPr>
                <w:i/>
                <w:sz w:val="28"/>
              </w:rPr>
              <w:t>ngày</w:t>
            </w:r>
            <w:r>
              <w:rPr>
                <w:i/>
                <w:spacing w:val="-5"/>
                <w:sz w:val="28"/>
              </w:rPr>
              <w:t> </w:t>
            </w:r>
            <w:r>
              <w:rPr>
                <w:i/>
                <w:sz w:val="28"/>
              </w:rPr>
              <w:t>24</w:t>
            </w:r>
            <w:r>
              <w:rPr>
                <w:i/>
                <w:spacing w:val="68"/>
                <w:sz w:val="28"/>
              </w:rPr>
              <w:t> </w:t>
            </w:r>
            <w:r>
              <w:rPr>
                <w:i/>
                <w:sz w:val="28"/>
              </w:rPr>
              <w:t>tháng</w:t>
            </w:r>
            <w:r>
              <w:rPr>
                <w:i/>
                <w:spacing w:val="-4"/>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spacing w:before="1"/>
        <w:ind w:left="0" w:firstLine="0"/>
        <w:jc w:val="left"/>
        <w:rPr>
          <w:sz w:val="22"/>
        </w:rPr>
      </w:pPr>
    </w:p>
    <w:p>
      <w:pPr>
        <w:pStyle w:val="Heading1"/>
        <w:spacing w:line="322" w:lineRule="exact" w:before="89"/>
        <w:ind w:right="1159"/>
      </w:pPr>
      <w:r>
        <w:rPr/>
        <w:pict>
          <v:line style="position:absolute;mso-position-horizontal-relative:page;mso-position-vertical-relative:paragraph;z-index:-15773696" from="318pt,-51.649677pt" to="474pt,-51.649677pt" stroked="true" strokeweight=".75pt" strokecolor="#000000">
            <v:stroke dashstyle="solid"/>
            <w10:wrap type="none"/>
          </v:line>
        </w:pict>
      </w:r>
      <w:r>
        <w:rPr/>
        <w:t>QUYẾT</w:t>
      </w:r>
      <w:r>
        <w:rPr>
          <w:spacing w:val="-6"/>
        </w:rPr>
        <w:t> </w:t>
      </w:r>
      <w:r>
        <w:rPr>
          <w:spacing w:val="-4"/>
        </w:rPr>
        <w:t>ĐỊNH</w:t>
      </w:r>
    </w:p>
    <w:p>
      <w:pPr>
        <w:spacing w:before="0"/>
        <w:ind w:left="1092" w:right="116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firstLine="0"/>
        <w:jc w:val="left"/>
        <w:rPr>
          <w:b/>
          <w:sz w:val="39"/>
        </w:rPr>
      </w:pPr>
    </w:p>
    <w:p>
      <w:pPr>
        <w:spacing w:before="0"/>
        <w:ind w:left="821" w:right="0" w:firstLine="0"/>
        <w:jc w:val="both"/>
        <w:rPr>
          <w:i/>
          <w:sz w:val="28"/>
        </w:rPr>
      </w:pPr>
      <w:r>
        <w:rPr>
          <w:i/>
          <w:sz w:val="28"/>
        </w:rPr>
        <w:t>Căn</w:t>
      </w:r>
      <w:r>
        <w:rPr>
          <w:i/>
          <w:spacing w:val="-2"/>
          <w:sz w:val="28"/>
        </w:rPr>
        <w:t> </w:t>
      </w:r>
      <w:r>
        <w:rPr>
          <w:i/>
          <w:sz w:val="28"/>
        </w:rPr>
        <w:t>cứ</w:t>
      </w:r>
      <w:r>
        <w:rPr>
          <w:i/>
          <w:spacing w:val="-3"/>
          <w:sz w:val="28"/>
        </w:rPr>
        <w:t> </w:t>
      </w:r>
      <w:r>
        <w:rPr>
          <w:i/>
          <w:sz w:val="28"/>
        </w:rPr>
        <w:t>vào</w:t>
      </w:r>
      <w:r>
        <w:rPr>
          <w:i/>
          <w:spacing w:val="-1"/>
          <w:sz w:val="28"/>
        </w:rPr>
        <w:t> </w:t>
      </w:r>
      <w:r>
        <w:rPr>
          <w:i/>
          <w:sz w:val="28"/>
        </w:rPr>
        <w:t>Điều</w:t>
      </w:r>
      <w:r>
        <w:rPr>
          <w:i/>
          <w:spacing w:val="-5"/>
          <w:sz w:val="28"/>
        </w:rPr>
        <w:t> </w:t>
      </w:r>
      <w:r>
        <w:rPr>
          <w:i/>
          <w:sz w:val="28"/>
        </w:rPr>
        <w:t>212</w:t>
      </w:r>
      <w:r>
        <w:rPr>
          <w:i/>
          <w:spacing w:val="-3"/>
          <w:sz w:val="28"/>
        </w:rPr>
        <w:t> </w:t>
      </w:r>
      <w:r>
        <w:rPr>
          <w:i/>
          <w:sz w:val="28"/>
        </w:rPr>
        <w:t>và</w:t>
      </w:r>
      <w:r>
        <w:rPr>
          <w:i/>
          <w:spacing w:val="-3"/>
          <w:sz w:val="28"/>
        </w:rPr>
        <w:t> </w:t>
      </w:r>
      <w:r>
        <w:rPr>
          <w:i/>
          <w:sz w:val="28"/>
        </w:rPr>
        <w:t>Điều</w:t>
      </w:r>
      <w:r>
        <w:rPr>
          <w:i/>
          <w:spacing w:val="-2"/>
          <w:sz w:val="28"/>
        </w:rPr>
        <w:t> </w:t>
      </w:r>
      <w:r>
        <w:rPr>
          <w:i/>
          <w:sz w:val="28"/>
        </w:rPr>
        <w:t>213</w:t>
      </w:r>
      <w:r>
        <w:rPr>
          <w:i/>
          <w:spacing w:val="-1"/>
          <w:sz w:val="28"/>
        </w:rPr>
        <w:t> </w:t>
      </w:r>
      <w:r>
        <w:rPr>
          <w:i/>
          <w:sz w:val="28"/>
        </w:rPr>
        <w:t>của</w:t>
      </w:r>
      <w:r>
        <w:rPr>
          <w:i/>
          <w:spacing w:val="-2"/>
          <w:sz w:val="28"/>
        </w:rPr>
        <w:t> </w:t>
      </w:r>
      <w:r>
        <w:rPr>
          <w:i/>
          <w:sz w:val="28"/>
        </w:rPr>
        <w:t>Bộ</w:t>
      </w:r>
      <w:r>
        <w:rPr>
          <w:i/>
          <w:spacing w:val="-5"/>
          <w:sz w:val="28"/>
        </w:rPr>
        <w:t> </w:t>
      </w:r>
      <w:r>
        <w:rPr>
          <w:i/>
          <w:sz w:val="28"/>
        </w:rPr>
        <w:t>luật</w:t>
      </w:r>
      <w:r>
        <w:rPr>
          <w:i/>
          <w:spacing w:val="-2"/>
          <w:sz w:val="28"/>
        </w:rPr>
        <w:t> </w:t>
      </w:r>
      <w:r>
        <w:rPr>
          <w:i/>
          <w:sz w:val="28"/>
        </w:rPr>
        <w:t>tố</w:t>
      </w:r>
      <w:r>
        <w:rPr>
          <w:i/>
          <w:spacing w:val="-2"/>
          <w:sz w:val="28"/>
        </w:rPr>
        <w:t> </w:t>
      </w:r>
      <w:r>
        <w:rPr>
          <w:i/>
          <w:sz w:val="28"/>
        </w:rPr>
        <w:t>tụng</w:t>
      </w:r>
      <w:r>
        <w:rPr>
          <w:i/>
          <w:spacing w:val="-5"/>
          <w:sz w:val="28"/>
        </w:rPr>
        <w:t> </w:t>
      </w:r>
      <w:r>
        <w:rPr>
          <w:i/>
          <w:sz w:val="28"/>
        </w:rPr>
        <w:t>dân</w:t>
      </w:r>
      <w:r>
        <w:rPr>
          <w:i/>
          <w:spacing w:val="-5"/>
          <w:sz w:val="28"/>
        </w:rPr>
        <w:t> sự;</w:t>
      </w:r>
    </w:p>
    <w:p>
      <w:pPr>
        <w:spacing w:line="283" w:lineRule="auto" w:before="179"/>
        <w:ind w:left="102" w:right="166" w:firstLine="719"/>
        <w:jc w:val="both"/>
        <w:rPr>
          <w:i/>
          <w:sz w:val="28"/>
        </w:rPr>
      </w:pPr>
      <w:r>
        <w:rPr>
          <w:i/>
          <w:sz w:val="28"/>
        </w:rPr>
        <w:t>Căn cứ vào biên bản hoà giải thành ngày 16 tháng 11 năm 2022 về việc</w:t>
      </w:r>
      <w:r>
        <w:rPr>
          <w:i/>
          <w:sz w:val="28"/>
        </w:rPr>
        <w:t> các đương sự thoả thuận được với nhau về việc giải quyết toàn bộ vụ án dân sự thụ</w:t>
      </w:r>
      <w:r>
        <w:rPr>
          <w:i/>
          <w:spacing w:val="-5"/>
          <w:sz w:val="28"/>
        </w:rPr>
        <w:t> </w:t>
      </w:r>
      <w:r>
        <w:rPr>
          <w:i/>
          <w:sz w:val="28"/>
        </w:rPr>
        <w:t>lý</w:t>
      </w:r>
      <w:r>
        <w:rPr>
          <w:i/>
          <w:spacing w:val="-5"/>
          <w:sz w:val="28"/>
        </w:rPr>
        <w:t> </w:t>
      </w:r>
      <w:r>
        <w:rPr>
          <w:i/>
          <w:sz w:val="28"/>
        </w:rPr>
        <w:t>số:</w:t>
      </w:r>
      <w:r>
        <w:rPr>
          <w:i/>
          <w:spacing w:val="-5"/>
          <w:sz w:val="28"/>
        </w:rPr>
        <w:t> </w:t>
      </w:r>
      <w:r>
        <w:rPr>
          <w:i/>
          <w:sz w:val="28"/>
        </w:rPr>
        <w:t>03/2022/TLST-KDTM,</w:t>
      </w:r>
      <w:r>
        <w:rPr>
          <w:i/>
          <w:spacing w:val="-17"/>
          <w:sz w:val="28"/>
        </w:rPr>
        <w:t> </w:t>
      </w:r>
      <w:r>
        <w:rPr>
          <w:i/>
          <w:sz w:val="28"/>
        </w:rPr>
        <w:t>ngày</w:t>
      </w:r>
      <w:r>
        <w:rPr>
          <w:i/>
          <w:spacing w:val="-17"/>
          <w:sz w:val="28"/>
        </w:rPr>
        <w:t> </w:t>
      </w:r>
      <w:r>
        <w:rPr>
          <w:i/>
          <w:sz w:val="28"/>
        </w:rPr>
        <w:t>19</w:t>
      </w:r>
      <w:r>
        <w:rPr>
          <w:i/>
          <w:spacing w:val="-18"/>
          <w:sz w:val="28"/>
        </w:rPr>
        <w:t> </w:t>
      </w:r>
      <w:r>
        <w:rPr>
          <w:i/>
          <w:sz w:val="28"/>
        </w:rPr>
        <w:t>tháng</w:t>
      </w:r>
      <w:r>
        <w:rPr>
          <w:i/>
          <w:spacing w:val="-17"/>
          <w:sz w:val="28"/>
        </w:rPr>
        <w:t> </w:t>
      </w:r>
      <w:r>
        <w:rPr>
          <w:i/>
          <w:sz w:val="28"/>
        </w:rPr>
        <w:t>10</w:t>
      </w:r>
      <w:r>
        <w:rPr>
          <w:i/>
          <w:spacing w:val="-18"/>
          <w:sz w:val="28"/>
        </w:rPr>
        <w:t> </w:t>
      </w:r>
      <w:r>
        <w:rPr>
          <w:i/>
          <w:sz w:val="28"/>
        </w:rPr>
        <w:t>năm</w:t>
      </w:r>
      <w:r>
        <w:rPr>
          <w:i/>
          <w:spacing w:val="-17"/>
          <w:sz w:val="28"/>
        </w:rPr>
        <w:t> </w:t>
      </w:r>
      <w:r>
        <w:rPr>
          <w:i/>
          <w:sz w:val="28"/>
        </w:rPr>
        <w:t>2022.</w:t>
      </w:r>
    </w:p>
    <w:p>
      <w:pPr>
        <w:pStyle w:val="Heading1"/>
        <w:spacing w:before="85"/>
      </w:pPr>
      <w:r>
        <w:rPr/>
        <w:t>XÉT</w:t>
      </w:r>
      <w:r>
        <w:rPr>
          <w:spacing w:val="-2"/>
        </w:rPr>
        <w:t> THẤY:</w:t>
      </w:r>
    </w:p>
    <w:p>
      <w:pPr>
        <w:pStyle w:val="BodyText"/>
        <w:spacing w:line="254" w:lineRule="auto" w:before="132"/>
        <w:ind w:right="178"/>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54" w:lineRule="auto" w:before="116"/>
        <w:ind w:right="177"/>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124"/>
        <w:ind w:left="3682" w:right="3751"/>
      </w:pPr>
      <w:r>
        <w:rPr/>
        <w:t>QUYẾT</w:t>
      </w:r>
      <w:r>
        <w:rPr>
          <w:spacing w:val="-4"/>
        </w:rPr>
        <w:t> </w:t>
      </w:r>
      <w:r>
        <w:rPr>
          <w:spacing w:val="-2"/>
        </w:rPr>
        <w:t>ĐỊNH:</w:t>
      </w:r>
    </w:p>
    <w:p>
      <w:pPr>
        <w:pStyle w:val="ListParagraph"/>
        <w:numPr>
          <w:ilvl w:val="0"/>
          <w:numId w:val="1"/>
        </w:numPr>
        <w:tabs>
          <w:tab w:pos="1103" w:val="left" w:leader="none"/>
        </w:tabs>
        <w:spacing w:line="240" w:lineRule="auto" w:before="132"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10" w:val="left" w:leader="none"/>
        </w:tabs>
        <w:spacing w:line="254" w:lineRule="auto" w:before="139" w:after="0"/>
        <w:ind w:left="102" w:right="165" w:firstLine="719"/>
        <w:jc w:val="both"/>
        <w:rPr>
          <w:i/>
          <w:sz w:val="28"/>
        </w:rPr>
      </w:pPr>
      <w:r>
        <w:rPr>
          <w:i/>
          <w:sz w:val="28"/>
        </w:rPr>
        <w:t>Nguyên đơn: </w:t>
      </w:r>
      <w:r>
        <w:rPr>
          <w:sz w:val="28"/>
        </w:rPr>
        <w:t>Ngân hàng TMCP V; Trụ sở: Số 89 , phường L, quận Đ, thành phố H; Người đại diện theo pháp luật Ông Ngô Chí D, chức vụ: Chủ tịch Hội đồng Quản trị. Người đại diện theo ủy quyền Ông Phạm Tuấn A, chức vụ: Phó giám đốc trung tâm xử lý nợ theo văn bản ủy quyền số 25/UQ-HĐQT, này 07/7/2020. Pháp luật và Ngân hàng SME và cá nhân VPBank Hội sở.</w:t>
      </w:r>
    </w:p>
    <w:p>
      <w:pPr>
        <w:pStyle w:val="BodyText"/>
        <w:spacing w:line="254" w:lineRule="auto" w:before="112"/>
        <w:ind w:right="168" w:firstLine="789"/>
      </w:pPr>
      <w:r>
        <w:rPr/>
        <w:t>Người đại diện theo ủy quyền của ông Phạm Tuấn A: Ông Nguyễn</w:t>
      </w:r>
      <w:r>
        <w:rPr>
          <w:spacing w:val="80"/>
        </w:rPr>
        <w:t> </w:t>
      </w:r>
      <w:r>
        <w:rPr/>
        <w:t>Thành Đ - Chuyên viên xử lý nợ; địa chỉ: Số 17 đường T, phường T, thành phố H, tỉnh H.</w:t>
      </w:r>
    </w:p>
    <w:p>
      <w:pPr>
        <w:pStyle w:val="ListParagraph"/>
        <w:numPr>
          <w:ilvl w:val="1"/>
          <w:numId w:val="1"/>
        </w:numPr>
        <w:tabs>
          <w:tab w:pos="1022" w:val="left" w:leader="none"/>
        </w:tabs>
        <w:spacing w:line="254" w:lineRule="auto" w:before="117" w:after="0"/>
        <w:ind w:left="102" w:right="165" w:firstLine="719"/>
        <w:jc w:val="both"/>
        <w:rPr>
          <w:i/>
          <w:sz w:val="28"/>
        </w:rPr>
      </w:pPr>
      <w:r>
        <w:rPr>
          <w:i/>
          <w:sz w:val="28"/>
        </w:rPr>
        <w:t>Bị đơn: </w:t>
      </w:r>
      <w:r>
        <w:rPr>
          <w:sz w:val="28"/>
        </w:rPr>
        <w:t>Chị Lê Thị Hồng Vvà Anh Trần Đình Q; địa chỉ: thị trấn H, huyện H, tỉnh H.</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17" w:val="left" w:leader="none"/>
        </w:tabs>
        <w:spacing w:line="240" w:lineRule="auto" w:before="120" w:after="0"/>
        <w:ind w:left="102" w:right="168" w:firstLine="719"/>
        <w:jc w:val="both"/>
        <w:rPr>
          <w:sz w:val="28"/>
        </w:rPr>
      </w:pPr>
      <w:r>
        <w:rPr>
          <w:sz w:val="28"/>
        </w:rPr>
        <w:t>Chị Lê Thị Hồng V và Anh Trần Đình Q nhận trả nợ cho Ngân hàng TMCP V tổng số tiền là tổng số tiền 729.905.035 đồng </w:t>
      </w:r>
      <w:r>
        <w:rPr>
          <w:i/>
          <w:sz w:val="28"/>
        </w:rPr>
        <w:t>(Bảy trăm hai mươi chín</w:t>
      </w:r>
      <w:r>
        <w:rPr>
          <w:i/>
          <w:sz w:val="28"/>
        </w:rPr>
        <w:t> triệu chín trăm linh năm ngàn không trăm ba mươi lăm đồng)</w:t>
      </w:r>
      <w:r>
        <w:rPr>
          <w:sz w:val="28"/>
        </w:rPr>
        <w:t>, trong đó số tiền nợ gốc là 469.069.952 đồng và tiền lãi chưa thanh toán tính đến ngày</w:t>
      </w:r>
      <w:r>
        <w:rPr>
          <w:spacing w:val="40"/>
          <w:sz w:val="28"/>
        </w:rPr>
        <w:t> </w:t>
      </w:r>
      <w:r>
        <w:rPr>
          <w:sz w:val="28"/>
        </w:rPr>
        <w:t>16/11/2022 là 226.730.972 đồng, tiền phạt: 34.104.111 đồng, theo Hợp đồng tín dụng số LN 1808150865473 ngày 20/8/2018.</w:t>
      </w:r>
    </w:p>
    <w:p>
      <w:pPr>
        <w:spacing w:after="0" w:line="240" w:lineRule="auto"/>
        <w:jc w:val="both"/>
        <w:rPr>
          <w:sz w:val="28"/>
        </w:rPr>
        <w:sectPr>
          <w:type w:val="continuous"/>
          <w:pgSz w:w="11910" w:h="16840"/>
          <w:pgMar w:top="1140" w:bottom="280" w:left="1600" w:right="960"/>
        </w:sectPr>
      </w:pPr>
    </w:p>
    <w:p>
      <w:pPr>
        <w:spacing w:before="72"/>
        <w:ind w:left="0" w:right="68" w:firstLine="0"/>
        <w:jc w:val="center"/>
        <w:rPr>
          <w:sz w:val="24"/>
        </w:rPr>
      </w:pPr>
      <w:r>
        <w:rPr>
          <w:sz w:val="24"/>
        </w:rPr>
        <w:t>2</w:t>
      </w:r>
    </w:p>
    <w:p>
      <w:pPr>
        <w:pStyle w:val="BodyText"/>
        <w:spacing w:before="1"/>
        <w:ind w:left="0" w:firstLine="0"/>
        <w:jc w:val="left"/>
        <w:rPr>
          <w:sz w:val="35"/>
        </w:rPr>
      </w:pPr>
    </w:p>
    <w:p>
      <w:pPr>
        <w:pStyle w:val="BodyText"/>
        <w:ind w:right="165"/>
      </w:pPr>
      <w:r>
        <w:rPr/>
        <w:t>Chị Lê Thị Hồng V và Anh Trần Đình Q còn phải tiếp tục chịu khoản tiền lãi</w:t>
      </w:r>
      <w:r>
        <w:rPr>
          <w:spacing w:val="-3"/>
        </w:rPr>
        <w:t> </w:t>
      </w:r>
      <w:r>
        <w:rPr/>
        <w:t>quá</w:t>
      </w:r>
      <w:r>
        <w:rPr>
          <w:spacing w:val="-1"/>
        </w:rPr>
        <w:t> </w:t>
      </w:r>
      <w:r>
        <w:rPr/>
        <w:t>hạn của</w:t>
      </w:r>
      <w:r>
        <w:rPr>
          <w:spacing w:val="-4"/>
        </w:rPr>
        <w:t> </w:t>
      </w:r>
      <w:r>
        <w:rPr/>
        <w:t>số</w:t>
      </w:r>
      <w:r>
        <w:rPr>
          <w:spacing w:val="-4"/>
        </w:rPr>
        <w:t> </w:t>
      </w:r>
      <w:r>
        <w:rPr/>
        <w:t>tiền nợ</w:t>
      </w:r>
      <w:r>
        <w:rPr>
          <w:spacing w:val="-4"/>
        </w:rPr>
        <w:t> </w:t>
      </w:r>
      <w:r>
        <w:rPr/>
        <w:t>gốc</w:t>
      </w:r>
      <w:r>
        <w:rPr>
          <w:spacing w:val="-1"/>
        </w:rPr>
        <w:t> </w:t>
      </w:r>
      <w:r>
        <w:rPr/>
        <w:t>chưa</w:t>
      </w:r>
      <w:r>
        <w:rPr>
          <w:spacing w:val="-1"/>
        </w:rPr>
        <w:t> </w:t>
      </w:r>
      <w:r>
        <w:rPr/>
        <w:t>thanh</w:t>
      </w:r>
      <w:r>
        <w:rPr>
          <w:spacing w:val="-4"/>
        </w:rPr>
        <w:t> </w:t>
      </w:r>
      <w:r>
        <w:rPr/>
        <w:t>toán và</w:t>
      </w:r>
      <w:r>
        <w:rPr>
          <w:spacing w:val="-1"/>
        </w:rPr>
        <w:t> </w:t>
      </w:r>
      <w:r>
        <w:rPr/>
        <w:t>tiền lãi phạt chậm</w:t>
      </w:r>
      <w:r>
        <w:rPr>
          <w:spacing w:val="-6"/>
        </w:rPr>
        <w:t> </w:t>
      </w:r>
      <w:r>
        <w:rPr/>
        <w:t>trả</w:t>
      </w:r>
      <w:r>
        <w:rPr>
          <w:spacing w:val="-1"/>
        </w:rPr>
        <w:t> </w:t>
      </w:r>
      <w:r>
        <w:rPr/>
        <w:t>theo mức lãi suất mà các bên thỏa thuận trong hợp đồng tín dụng số số LN 1808150865473 ngày 20/8/2018 cho đến khi thực hiện xong nghĩa vụ trả nợ.</w:t>
      </w:r>
    </w:p>
    <w:p>
      <w:pPr>
        <w:pStyle w:val="BodyText"/>
        <w:spacing w:before="122"/>
        <w:ind w:right="166"/>
      </w:pPr>
      <w:r>
        <w:rPr/>
        <w:t>Trường hợp chị Lê Thị Hồng V, anh Trần Đình Q không thực hiện hoặc thực hiện không đầy đủ nghĩa vụ trả nợ hoặc vi phạm bất cứ kỳ trả nợ nào như thỏa thuận trên thì Ngân hàng có quyền yêu cầu xử lý tài sản bảo đảm theo Hợp đồng thế chấp quyền sử dụng đất số LN 1808150865473 </w:t>
      </w:r>
      <w:r>
        <w:rPr>
          <w:color w:val="FF0000"/>
        </w:rPr>
        <w:t>ngày 20/8/2018 </w:t>
      </w:r>
      <w:r>
        <w:rPr/>
        <w:t>để thu hồi nợ. Trong </w:t>
      </w:r>
      <w:r>
        <w:rPr>
          <w:color w:val="FF0000"/>
        </w:rPr>
        <w:t>trường hợp nếu số tiền thu được từ việc xử lý tài sản bảo vấn không đủ trả nợ cho Ngân hàng TMCP V thì Chị Lê Thị Hồng V và Anh Trần Đình Q vẫn phải tiếp tục thực hiện nghĩa vụ trả nợ cho Ngân hàng</w:t>
      </w:r>
      <w:r>
        <w:rPr>
          <w:color w:val="FF0000"/>
          <w:spacing w:val="25"/>
        </w:rPr>
        <w:t> </w:t>
      </w:r>
      <w:r>
        <w:rPr>
          <w:color w:val="FF0000"/>
        </w:rPr>
        <w:t>cho đến khi tất toán toàn bộ các khoản vay, nếu thừa thì được trả lại.</w:t>
      </w:r>
    </w:p>
    <w:p>
      <w:pPr>
        <w:pStyle w:val="ListParagraph"/>
        <w:numPr>
          <w:ilvl w:val="1"/>
          <w:numId w:val="1"/>
        </w:numPr>
        <w:tabs>
          <w:tab w:pos="1070" w:val="left" w:leader="none"/>
        </w:tabs>
        <w:spacing w:line="254" w:lineRule="auto" w:before="137" w:after="0"/>
        <w:ind w:left="102" w:right="167" w:firstLine="719"/>
        <w:jc w:val="both"/>
        <w:rPr>
          <w:sz w:val="28"/>
        </w:rPr>
      </w:pPr>
      <w:r>
        <w:rPr>
          <w:sz w:val="28"/>
        </w:rPr>
        <w:t>Về án phí: Chị Lê Thị Hồng V và Anh Trần Đình Q nhận nộp 16.598.151đ án phí dân sự</w:t>
      </w:r>
      <w:r>
        <w:rPr>
          <w:spacing w:val="-1"/>
          <w:sz w:val="28"/>
        </w:rPr>
        <w:t> </w:t>
      </w:r>
      <w:r>
        <w:rPr>
          <w:sz w:val="28"/>
        </w:rPr>
        <w:t>sơ thẩm</w:t>
      </w:r>
      <w:r>
        <w:rPr>
          <w:spacing w:val="-2"/>
          <w:sz w:val="28"/>
        </w:rPr>
        <w:t> </w:t>
      </w:r>
      <w:r>
        <w:rPr>
          <w:sz w:val="28"/>
        </w:rPr>
        <w:t>có giá ngạch. Trả lại Ngân hàng TMCP V số tiền 16.085.000đ tiền tạm ứng án phí đã nộp theo biên lai thu tiền tạm ứng án phí, lệ phí Tòa án số 0007869 ngày 18/10/2022 tại chi cục Thi hành án dân sự huyện H.</w:t>
      </w:r>
    </w:p>
    <w:p>
      <w:pPr>
        <w:pStyle w:val="ListParagraph"/>
        <w:numPr>
          <w:ilvl w:val="0"/>
          <w:numId w:val="1"/>
        </w:numPr>
        <w:tabs>
          <w:tab w:pos="1130" w:val="left" w:leader="none"/>
        </w:tabs>
        <w:spacing w:line="252" w:lineRule="auto" w:before="115" w:after="0"/>
        <w:ind w:left="102" w:right="17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54" w:lineRule="auto" w:before="123" w:after="0"/>
        <w:ind w:left="102" w:right="173"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 theo</w:t>
      </w:r>
      <w:r>
        <w:rPr>
          <w:spacing w:val="-4"/>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ind w:left="0" w:firstLine="0"/>
        <w:jc w:val="left"/>
        <w:rPr>
          <w:sz w:val="20"/>
        </w:rPr>
      </w:pPr>
    </w:p>
    <w:p>
      <w:pPr>
        <w:pStyle w:val="BodyText"/>
        <w:spacing w:before="6"/>
        <w:ind w:left="0" w:firstLine="0"/>
        <w:jc w:val="left"/>
        <w:rPr>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7"/>
        <w:gridCol w:w="3738"/>
      </w:tblGrid>
      <w:tr>
        <w:trPr>
          <w:trHeight w:val="2154" w:hRule="atLeast"/>
        </w:trPr>
        <w:tc>
          <w:tcPr>
            <w:tcW w:w="41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án;</w:t>
            </w:r>
            <w:r>
              <w:rPr>
                <w:spacing w:val="-2"/>
                <w:sz w:val="22"/>
              </w:rPr>
              <w:t> </w:t>
            </w:r>
            <w:r>
              <w:rPr>
                <w:spacing w:val="-4"/>
                <w:sz w:val="22"/>
              </w:rPr>
              <w:t>VPTA.</w:t>
            </w:r>
          </w:p>
        </w:tc>
        <w:tc>
          <w:tcPr>
            <w:tcW w:w="3738" w:type="dxa"/>
          </w:tcPr>
          <w:p>
            <w:pPr>
              <w:pStyle w:val="TableParagraph"/>
              <w:spacing w:line="292" w:lineRule="exact"/>
              <w:ind w:left="169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4"/>
              </w:rPr>
            </w:pPr>
          </w:p>
          <w:p>
            <w:pPr>
              <w:pStyle w:val="TableParagraph"/>
              <w:ind w:left="2241"/>
              <w:rPr>
                <w:b/>
                <w:i/>
                <w:sz w:val="26"/>
              </w:rPr>
            </w:pPr>
            <w:r>
              <w:rPr>
                <w:b/>
                <w:i/>
                <w:sz w:val="26"/>
              </w:rPr>
              <w:t>(đã</w:t>
            </w:r>
            <w:r>
              <w:rPr>
                <w:b/>
                <w:i/>
                <w:spacing w:val="-5"/>
                <w:sz w:val="26"/>
              </w:rPr>
              <w:t> kỹ)</w:t>
            </w:r>
          </w:p>
          <w:p>
            <w:pPr>
              <w:pStyle w:val="TableParagraph"/>
              <w:rPr>
                <w:sz w:val="28"/>
              </w:rPr>
            </w:pPr>
          </w:p>
          <w:p>
            <w:pPr>
              <w:pStyle w:val="TableParagraph"/>
              <w:spacing w:before="11"/>
              <w:rPr>
                <w:sz w:val="27"/>
              </w:rPr>
            </w:pPr>
          </w:p>
          <w:p>
            <w:pPr>
              <w:pStyle w:val="TableParagraph"/>
              <w:spacing w:line="302" w:lineRule="exact"/>
              <w:ind w:left="1816"/>
              <w:rPr>
                <w:b/>
                <w:sz w:val="28"/>
              </w:rPr>
            </w:pPr>
            <w:r>
              <w:rPr>
                <w:b/>
                <w:sz w:val="28"/>
              </w:rPr>
              <w:t>Lê</w:t>
            </w:r>
            <w:r>
              <w:rPr>
                <w:b/>
                <w:spacing w:val="-2"/>
                <w:sz w:val="28"/>
              </w:rPr>
              <w:t> </w:t>
            </w:r>
            <w:r>
              <w:rPr>
                <w:b/>
                <w:sz w:val="28"/>
              </w:rPr>
              <w:t>Trọng</w:t>
            </w:r>
            <w:r>
              <w:rPr>
                <w:b/>
                <w:spacing w:val="1"/>
                <w:sz w:val="28"/>
              </w:rPr>
              <w:t> </w:t>
            </w:r>
            <w:r>
              <w:rPr>
                <w:b/>
                <w:spacing w:val="-4"/>
                <w:sz w:val="28"/>
              </w:rPr>
              <w:t>Hùng</w:t>
            </w:r>
          </w:p>
        </w:tc>
      </w:tr>
    </w:tbl>
    <w:sectPr>
      <w:pgSz w:w="11910" w:h="16840"/>
      <w:pgMar w:top="360" w:bottom="28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79" w:hanging="128"/>
      </w:pPr>
      <w:rPr>
        <w:rFonts w:hint="default"/>
        <w:lang w:val="vi" w:eastAsia="en-US" w:bidi="ar-SA"/>
      </w:rPr>
    </w:lvl>
    <w:lvl w:ilvl="2">
      <w:start w:val="0"/>
      <w:numFmt w:val="bullet"/>
      <w:lvlText w:val="•"/>
      <w:lvlJc w:val="left"/>
      <w:pPr>
        <w:ind w:left="979" w:hanging="128"/>
      </w:pPr>
      <w:rPr>
        <w:rFonts w:hint="default"/>
        <w:lang w:val="vi" w:eastAsia="en-US" w:bidi="ar-SA"/>
      </w:rPr>
    </w:lvl>
    <w:lvl w:ilvl="3">
      <w:start w:val="0"/>
      <w:numFmt w:val="bullet"/>
      <w:lvlText w:val="•"/>
      <w:lvlJc w:val="left"/>
      <w:pPr>
        <w:ind w:left="1379" w:hanging="128"/>
      </w:pPr>
      <w:rPr>
        <w:rFonts w:hint="default"/>
        <w:lang w:val="vi" w:eastAsia="en-US" w:bidi="ar-SA"/>
      </w:rPr>
    </w:lvl>
    <w:lvl w:ilvl="4">
      <w:start w:val="0"/>
      <w:numFmt w:val="bullet"/>
      <w:lvlText w:val="•"/>
      <w:lvlJc w:val="left"/>
      <w:pPr>
        <w:ind w:left="1778" w:hanging="128"/>
      </w:pPr>
      <w:rPr>
        <w:rFonts w:hint="default"/>
        <w:lang w:val="vi" w:eastAsia="en-US" w:bidi="ar-SA"/>
      </w:rPr>
    </w:lvl>
    <w:lvl w:ilvl="5">
      <w:start w:val="0"/>
      <w:numFmt w:val="bullet"/>
      <w:lvlText w:val="•"/>
      <w:lvlJc w:val="left"/>
      <w:pPr>
        <w:ind w:left="2178" w:hanging="128"/>
      </w:pPr>
      <w:rPr>
        <w:rFonts w:hint="default"/>
        <w:lang w:val="vi" w:eastAsia="en-US" w:bidi="ar-SA"/>
      </w:rPr>
    </w:lvl>
    <w:lvl w:ilvl="6">
      <w:start w:val="0"/>
      <w:numFmt w:val="bullet"/>
      <w:lvlText w:val="•"/>
      <w:lvlJc w:val="left"/>
      <w:pPr>
        <w:ind w:left="2578" w:hanging="128"/>
      </w:pPr>
      <w:rPr>
        <w:rFonts w:hint="default"/>
        <w:lang w:val="vi" w:eastAsia="en-US" w:bidi="ar-SA"/>
      </w:rPr>
    </w:lvl>
    <w:lvl w:ilvl="7">
      <w:start w:val="0"/>
      <w:numFmt w:val="bullet"/>
      <w:lvlText w:val="•"/>
      <w:lvlJc w:val="left"/>
      <w:pPr>
        <w:ind w:left="2977" w:hanging="128"/>
      </w:pPr>
      <w:rPr>
        <w:rFonts w:hint="default"/>
        <w:lang w:val="vi" w:eastAsia="en-US" w:bidi="ar-SA"/>
      </w:rPr>
    </w:lvl>
    <w:lvl w:ilvl="8">
      <w:start w:val="0"/>
      <w:numFmt w:val="bullet"/>
      <w:lvlText w:val="•"/>
      <w:lvlJc w:val="left"/>
      <w:pPr>
        <w:ind w:left="3377" w:hanging="128"/>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016" w:hanging="188"/>
      </w:pPr>
      <w:rPr>
        <w:rFonts w:hint="default"/>
        <w:lang w:val="vi" w:eastAsia="en-US" w:bidi="ar-SA"/>
      </w:rPr>
    </w:lvl>
    <w:lvl w:ilvl="3">
      <w:start w:val="0"/>
      <w:numFmt w:val="bullet"/>
      <w:lvlText w:val="•"/>
      <w:lvlJc w:val="left"/>
      <w:pPr>
        <w:ind w:left="2933" w:hanging="188"/>
      </w:pPr>
      <w:rPr>
        <w:rFonts w:hint="default"/>
        <w:lang w:val="vi" w:eastAsia="en-US" w:bidi="ar-SA"/>
      </w:rPr>
    </w:lvl>
    <w:lvl w:ilvl="4">
      <w:start w:val="0"/>
      <w:numFmt w:val="bullet"/>
      <w:lvlText w:val="•"/>
      <w:lvlJc w:val="left"/>
      <w:pPr>
        <w:ind w:left="3849" w:hanging="188"/>
      </w:pPr>
      <w:rPr>
        <w:rFonts w:hint="default"/>
        <w:lang w:val="vi" w:eastAsia="en-US" w:bidi="ar-SA"/>
      </w:rPr>
    </w:lvl>
    <w:lvl w:ilvl="5">
      <w:start w:val="0"/>
      <w:numFmt w:val="bullet"/>
      <w:lvlText w:val="•"/>
      <w:lvlJc w:val="left"/>
      <w:pPr>
        <w:ind w:left="4766" w:hanging="188"/>
      </w:pPr>
      <w:rPr>
        <w:rFonts w:hint="default"/>
        <w:lang w:val="vi" w:eastAsia="en-US" w:bidi="ar-SA"/>
      </w:rPr>
    </w:lvl>
    <w:lvl w:ilvl="6">
      <w:start w:val="0"/>
      <w:numFmt w:val="bullet"/>
      <w:lvlText w:val="•"/>
      <w:lvlJc w:val="left"/>
      <w:pPr>
        <w:ind w:left="5682" w:hanging="188"/>
      </w:pPr>
      <w:rPr>
        <w:rFonts w:hint="default"/>
        <w:lang w:val="vi" w:eastAsia="en-US" w:bidi="ar-SA"/>
      </w:rPr>
    </w:lvl>
    <w:lvl w:ilvl="7">
      <w:start w:val="0"/>
      <w:numFmt w:val="bullet"/>
      <w:lvlText w:val="•"/>
      <w:lvlJc w:val="left"/>
      <w:pPr>
        <w:ind w:left="6599" w:hanging="188"/>
      </w:pPr>
      <w:rPr>
        <w:rFonts w:hint="default"/>
        <w:lang w:val="vi" w:eastAsia="en-US" w:bidi="ar-SA"/>
      </w:rPr>
    </w:lvl>
    <w:lvl w:ilvl="8">
      <w:start w:val="0"/>
      <w:numFmt w:val="bullet"/>
      <w:lvlText w:val="•"/>
      <w:lvlJc w:val="left"/>
      <w:pPr>
        <w:ind w:left="7515"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2" w:right="115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Tam</dc:creator>
  <dcterms:created xsi:type="dcterms:W3CDTF">2023-04-24T19:14:40Z</dcterms:created>
  <dcterms:modified xsi:type="dcterms:W3CDTF">2023-04-24T19:14:40Z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