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0"/>
        <w:gridCol w:w="5827"/>
      </w:tblGrid>
      <w:tr>
        <w:trPr>
          <w:trHeight w:val="1247" w:hRule="atLeast"/>
        </w:trPr>
        <w:tc>
          <w:tcPr>
            <w:tcW w:w="2870" w:type="dxa"/>
          </w:tcPr>
          <w:p>
            <w:pPr>
              <w:pStyle w:val="TableParagraph"/>
              <w:ind w:left="174" w:hanging="125"/>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TỈ</w:t>
            </w:r>
            <w:r>
              <w:rPr>
                <w:b/>
                <w:sz w:val="26"/>
                <w:u w:val="single" w:color="497DBA"/>
              </w:rPr>
              <w:t>NH VĨNH PH</w:t>
            </w:r>
            <w:r>
              <w:rPr>
                <w:b/>
                <w:sz w:val="26"/>
              </w:rPr>
              <w:t>ÚC</w:t>
            </w:r>
          </w:p>
          <w:p>
            <w:pPr>
              <w:pStyle w:val="TableParagraph"/>
              <w:spacing w:before="6"/>
              <w:rPr>
                <w:sz w:val="26"/>
              </w:rPr>
            </w:pPr>
          </w:p>
          <w:p>
            <w:pPr>
              <w:pStyle w:val="TableParagraph"/>
              <w:ind w:left="114"/>
              <w:rPr>
                <w:sz w:val="28"/>
              </w:rPr>
            </w:pPr>
            <w:r>
              <w:rPr>
                <w:sz w:val="28"/>
              </w:rPr>
              <w:t>Số:</w:t>
            </w:r>
            <w:r>
              <w:rPr>
                <w:spacing w:val="-7"/>
                <w:sz w:val="28"/>
              </w:rPr>
              <w:t> </w:t>
            </w:r>
            <w:r>
              <w:rPr>
                <w:sz w:val="28"/>
              </w:rPr>
              <w:t>05/2022/QĐ-</w:t>
            </w:r>
            <w:r>
              <w:rPr>
                <w:spacing w:val="-6"/>
                <w:sz w:val="28"/>
              </w:rPr>
              <w:t> </w:t>
            </w:r>
            <w:r>
              <w:rPr>
                <w:spacing w:val="-5"/>
                <w:sz w:val="28"/>
              </w:rPr>
              <w:t>PT</w:t>
            </w:r>
          </w:p>
        </w:tc>
        <w:tc>
          <w:tcPr>
            <w:tcW w:w="5827" w:type="dxa"/>
          </w:tcPr>
          <w:p>
            <w:pPr>
              <w:pStyle w:val="TableParagraph"/>
              <w:spacing w:line="287" w:lineRule="exact"/>
              <w:ind w:left="366"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18"/>
              <w:ind w:left="366"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04"/>
              <w:rPr>
                <w:sz w:val="2"/>
              </w:rPr>
            </w:pPr>
            <w:r>
              <w:rPr>
                <w:sz w:val="2"/>
              </w:rPr>
              <w:pict>
                <v:group style="width:145.5pt;height:.75pt;mso-position-horizontal-relative:char;mso-position-vertical-relative:line" id="docshapegroup1" coordorigin="0,0" coordsize="2910,15">
                  <v:line style="position:absolute" from="0,8" to="2910,8" stroked="true" strokeweight=".75pt" strokecolor="#000000">
                    <v:stroke dashstyle="solid"/>
                  </v:line>
                </v:group>
              </w:pict>
            </w:r>
            <w:r>
              <w:rPr>
                <w:sz w:val="2"/>
              </w:rPr>
            </w:r>
          </w:p>
          <w:p>
            <w:pPr>
              <w:pStyle w:val="TableParagraph"/>
              <w:spacing w:before="2"/>
              <w:rPr>
                <w:sz w:val="24"/>
              </w:rPr>
            </w:pPr>
          </w:p>
          <w:p>
            <w:pPr>
              <w:pStyle w:val="TableParagraph"/>
              <w:spacing w:line="302" w:lineRule="exact"/>
              <w:ind w:left="366" w:right="51"/>
              <w:jc w:val="center"/>
              <w:rPr>
                <w:i/>
                <w:sz w:val="28"/>
              </w:rPr>
            </w:pPr>
            <w:r>
              <w:rPr>
                <w:i/>
                <w:sz w:val="28"/>
              </w:rPr>
              <w:t>Vĩnh</w:t>
            </w:r>
            <w:r>
              <w:rPr>
                <w:i/>
                <w:spacing w:val="-3"/>
                <w:sz w:val="28"/>
              </w:rPr>
              <w:t> </w:t>
            </w:r>
            <w:r>
              <w:rPr>
                <w:i/>
                <w:sz w:val="28"/>
              </w:rPr>
              <w:t>Phúc,</w:t>
            </w:r>
            <w:r>
              <w:rPr>
                <w:i/>
                <w:spacing w:val="-4"/>
                <w:sz w:val="28"/>
              </w:rPr>
              <w:t> </w:t>
            </w:r>
            <w:r>
              <w:rPr>
                <w:i/>
                <w:sz w:val="28"/>
              </w:rPr>
              <w:t>ngày</w:t>
            </w:r>
            <w:r>
              <w:rPr>
                <w:i/>
                <w:spacing w:val="-3"/>
                <w:sz w:val="28"/>
              </w:rPr>
              <w:t> </w:t>
            </w:r>
            <w:r>
              <w:rPr>
                <w:i/>
                <w:sz w:val="28"/>
              </w:rPr>
              <w:t>24</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4"/>
                <w:sz w:val="28"/>
              </w:rPr>
              <w:t> 2022</w:t>
            </w:r>
          </w:p>
        </w:tc>
      </w:tr>
    </w:tbl>
    <w:p>
      <w:pPr>
        <w:pStyle w:val="BodyText"/>
        <w:spacing w:before="4"/>
        <w:ind w:left="0" w:firstLine="0"/>
        <w:jc w:val="left"/>
        <w:rPr>
          <w:sz w:val="23"/>
        </w:rPr>
      </w:pPr>
    </w:p>
    <w:p>
      <w:pPr>
        <w:pStyle w:val="Heading1"/>
        <w:spacing w:line="285" w:lineRule="auto" w:before="89"/>
      </w:pPr>
      <w:r>
        <w:rPr/>
        <w:t>QUYẾT</w:t>
      </w:r>
      <w:r>
        <w:rPr>
          <w:spacing w:val="-5"/>
        </w:rPr>
        <w:t> </w:t>
      </w:r>
      <w:r>
        <w:rPr/>
        <w:t>ĐỊNH</w:t>
      </w:r>
      <w:r>
        <w:rPr>
          <w:spacing w:val="-5"/>
        </w:rPr>
        <w:t> </w:t>
      </w:r>
      <w:r>
        <w:rPr/>
        <w:t>GIẢI</w:t>
      </w:r>
      <w:r>
        <w:rPr>
          <w:spacing w:val="-4"/>
        </w:rPr>
        <w:t> </w:t>
      </w:r>
      <w:r>
        <w:rPr/>
        <w:t>QUYẾT</w:t>
      </w:r>
      <w:r>
        <w:rPr>
          <w:spacing w:val="-5"/>
        </w:rPr>
        <w:t> </w:t>
      </w:r>
      <w:r>
        <w:rPr/>
        <w:t>VIỆC</w:t>
      </w:r>
      <w:r>
        <w:rPr>
          <w:spacing w:val="-6"/>
        </w:rPr>
        <w:t> </w:t>
      </w:r>
      <w:r>
        <w:rPr/>
        <w:t>KHÁNG</w:t>
      </w:r>
      <w:r>
        <w:rPr>
          <w:spacing w:val="-5"/>
        </w:rPr>
        <w:t> </w:t>
      </w:r>
      <w:r>
        <w:rPr/>
        <w:t>CÁO</w:t>
      </w:r>
      <w:r>
        <w:rPr>
          <w:spacing w:val="-5"/>
        </w:rPr>
        <w:t> </w:t>
      </w:r>
      <w:r>
        <w:rPr/>
        <w:t>ĐỐI</w:t>
      </w:r>
      <w:r>
        <w:rPr>
          <w:spacing w:val="-4"/>
        </w:rPr>
        <w:t> </w:t>
      </w:r>
      <w:r>
        <w:rPr/>
        <w:t>VỚI QUYẾT ĐỊNH ĐÌNH CHỈ GIẢI QUYẾT VỤ ÁN</w:t>
      </w:r>
    </w:p>
    <w:p>
      <w:pPr>
        <w:spacing w:before="86"/>
        <w:ind w:left="1349" w:right="64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TỈNH</w:t>
      </w:r>
      <w:r>
        <w:rPr>
          <w:b/>
          <w:spacing w:val="-2"/>
          <w:sz w:val="28"/>
        </w:rPr>
        <w:t> </w:t>
      </w:r>
      <w:r>
        <w:rPr>
          <w:b/>
          <w:sz w:val="28"/>
        </w:rPr>
        <w:t>VĨNH</w:t>
      </w:r>
      <w:r>
        <w:rPr>
          <w:b/>
          <w:spacing w:val="-2"/>
          <w:sz w:val="28"/>
        </w:rPr>
        <w:t> </w:t>
      </w:r>
      <w:r>
        <w:rPr>
          <w:b/>
          <w:spacing w:val="-4"/>
          <w:sz w:val="28"/>
        </w:rPr>
        <w:t>PHÚC</w:t>
      </w:r>
    </w:p>
    <w:p>
      <w:pPr>
        <w:pStyle w:val="BodyText"/>
        <w:spacing w:line="283" w:lineRule="auto" w:before="175"/>
        <w:ind w:right="105"/>
      </w:pPr>
      <w:r>
        <w:rPr/>
        <w:t>Tại Quyết định đình chỉ giải quyết vụ án kinh doanh thương mại sơ thẩm số 05/2022/QĐST-KDTM ngày 05 tháng 9 năm 2022 của Toà án nhân dân huyện T, tỉnh Vĩnh Phúc đã đình chỉ giải quyết vụ án về việc “Tranh chấp hợp đồng tín dụng” giữa:</w:t>
      </w:r>
    </w:p>
    <w:p>
      <w:pPr>
        <w:pStyle w:val="ListParagraph"/>
        <w:numPr>
          <w:ilvl w:val="0"/>
          <w:numId w:val="1"/>
        </w:numPr>
        <w:tabs>
          <w:tab w:pos="1050" w:val="left" w:leader="none"/>
        </w:tabs>
        <w:spacing w:line="283" w:lineRule="auto" w:before="0" w:after="0"/>
        <w:ind w:left="162" w:right="106" w:firstLine="719"/>
        <w:jc w:val="both"/>
        <w:rPr>
          <w:sz w:val="28"/>
        </w:rPr>
      </w:pPr>
      <w:r>
        <w:rPr>
          <w:sz w:val="28"/>
        </w:rPr>
        <w:t>Nguyên đơn: Ngân hàng nông nghiệp và phát triển nông thôn Việt Nam; địa chỉ: Số 2 đường L, phường T, quận B, thành phố Hà Nội; Người đại diện theo ủy quyền: Ông Nguyễn Hữu B – Chức vụ: giám đốc Ngân hàng nông nghiệp và phát triển nông thôn Việt Nam Chi nhánh thành phố V; Người được ủy quyền lại: Ông Nguyễn Việt H – Chức vụ: Trưởng phòng kế hoạch kinh doanh Ngân hàng nông nghiệp và phát triển nông thôn Việt Nam Chi nhánh thành phố V.</w:t>
      </w:r>
    </w:p>
    <w:p>
      <w:pPr>
        <w:pStyle w:val="ListParagraph"/>
        <w:numPr>
          <w:ilvl w:val="0"/>
          <w:numId w:val="1"/>
        </w:numPr>
        <w:tabs>
          <w:tab w:pos="1065" w:val="left" w:leader="none"/>
        </w:tabs>
        <w:spacing w:line="283" w:lineRule="auto" w:before="3" w:after="0"/>
        <w:ind w:left="162" w:right="105" w:firstLine="719"/>
        <w:jc w:val="both"/>
        <w:rPr>
          <w:sz w:val="28"/>
        </w:rPr>
      </w:pPr>
      <w:r>
        <w:rPr>
          <w:sz w:val="28"/>
        </w:rPr>
        <w:t>Bị đơn: Chị Nguyễn Thị H, sinh năm 1982; Nơi cư trú: Thôn M, xã Đ, huyện T, tỉnh Vĩnh Phúc.</w:t>
      </w:r>
    </w:p>
    <w:p>
      <w:pPr>
        <w:pStyle w:val="BodyText"/>
        <w:spacing w:line="283" w:lineRule="auto"/>
        <w:ind w:right="106"/>
      </w:pPr>
      <w:r>
        <w:rPr/>
        <w:t>Tại đơn kháng cáo ngày 03 tháng 10 năm 2022, đại diện hợp pháp của nguyên đơn Ngân hàng nông nghiệp và phát triển nông thôn Việt Nam đề nghị hủy quyết định đình chỉ vụ án số 05/2022/QĐST-KDTM ngày 05 tháng 9 năm 2022 của Toà án nhân dân huyện T vì căn cứ đình chỉ vụ án không đúng pháp </w:t>
      </w:r>
      <w:r>
        <w:rPr>
          <w:spacing w:val="-4"/>
        </w:rPr>
        <w:t>luật.</w:t>
      </w:r>
    </w:p>
    <w:p>
      <w:pPr>
        <w:pStyle w:val="Heading1"/>
        <w:ind w:right="639"/>
      </w:pPr>
      <w:r>
        <w:rPr/>
        <w:t>XÉT</w:t>
      </w:r>
      <w:r>
        <w:rPr>
          <w:spacing w:val="-2"/>
        </w:rPr>
        <w:t> THẤY:</w:t>
      </w:r>
    </w:p>
    <w:p>
      <w:pPr>
        <w:pStyle w:val="BodyText"/>
        <w:spacing w:line="283" w:lineRule="auto" w:before="57"/>
        <w:ind w:right="215" w:firstLine="566"/>
      </w:pPr>
      <w:r>
        <w:rPr/>
        <w:t>Trong thời hạn chuẩn bị giải quyết việc kháng cáo, người kháng cáo là đại diện hợp pháp của nguyên đơn Ngân hàng nông nghiệp và phát triển nông thôn Việt Nam xin rút toàn bộ nội dung kháng cáo.</w:t>
      </w:r>
    </w:p>
    <w:p>
      <w:pPr>
        <w:pStyle w:val="BodyText"/>
        <w:ind w:left="728" w:firstLine="0"/>
      </w:pPr>
      <w:r>
        <w:rPr/>
        <w:t>Căn</w:t>
      </w:r>
      <w:r>
        <w:rPr>
          <w:spacing w:val="-2"/>
        </w:rPr>
        <w:t> </w:t>
      </w:r>
      <w:r>
        <w:rPr/>
        <w:t>cứ</w:t>
      </w:r>
      <w:r>
        <w:rPr>
          <w:spacing w:val="-4"/>
        </w:rPr>
        <w:t> </w:t>
      </w:r>
      <w:r>
        <w:rPr/>
        <w:t>vào</w:t>
      </w:r>
      <w:r>
        <w:rPr>
          <w:spacing w:val="-1"/>
        </w:rPr>
        <w:t> </w:t>
      </w:r>
      <w:r>
        <w:rPr/>
        <w:t>Điều</w:t>
      </w:r>
      <w:r>
        <w:rPr>
          <w:spacing w:val="-3"/>
        </w:rPr>
        <w:t> </w:t>
      </w:r>
      <w:r>
        <w:rPr/>
        <w:t>284</w:t>
      </w:r>
      <w:r>
        <w:rPr>
          <w:spacing w:val="-4"/>
        </w:rPr>
        <w:t> </w:t>
      </w:r>
      <w:r>
        <w:rPr/>
        <w:t>của</w:t>
      </w:r>
      <w:r>
        <w:rPr>
          <w:spacing w:val="-2"/>
        </w:rPr>
        <w:t> </w:t>
      </w:r>
      <w:r>
        <w:rPr/>
        <w:t>Bộ</w:t>
      </w:r>
      <w:r>
        <w:rPr>
          <w:spacing w:val="-1"/>
        </w:rPr>
        <w:t> </w:t>
      </w:r>
      <w:r>
        <w:rPr/>
        <w:t>luật</w:t>
      </w:r>
      <w:r>
        <w:rPr>
          <w:spacing w:val="-1"/>
        </w:rPr>
        <w:t> </w:t>
      </w:r>
      <w:r>
        <w:rPr/>
        <w:t>tố</w:t>
      </w:r>
      <w:r>
        <w:rPr>
          <w:spacing w:val="-1"/>
        </w:rPr>
        <w:t> </w:t>
      </w:r>
      <w:r>
        <w:rPr/>
        <w:t>tụng</w:t>
      </w:r>
      <w:r>
        <w:rPr>
          <w:spacing w:val="-5"/>
        </w:rPr>
        <w:t> </w:t>
      </w:r>
      <w:r>
        <w:rPr/>
        <w:t>dân</w:t>
      </w:r>
      <w:r>
        <w:rPr>
          <w:spacing w:val="-1"/>
        </w:rPr>
        <w:t> </w:t>
      </w:r>
      <w:r>
        <w:rPr>
          <w:spacing w:val="-5"/>
        </w:rPr>
        <w:t>sự.</w:t>
      </w:r>
    </w:p>
    <w:p>
      <w:pPr>
        <w:pStyle w:val="Heading1"/>
        <w:spacing w:before="60"/>
        <w:ind w:left="1348"/>
      </w:pPr>
      <w:r>
        <w:rPr/>
        <w:t>QUYẾT</w:t>
      </w:r>
      <w:r>
        <w:rPr>
          <w:spacing w:val="-4"/>
        </w:rPr>
        <w:t> </w:t>
      </w:r>
      <w:r>
        <w:rPr>
          <w:spacing w:val="-2"/>
        </w:rPr>
        <w:t>ĐỊNH:</w:t>
      </w:r>
    </w:p>
    <w:p>
      <w:pPr>
        <w:pStyle w:val="ListParagraph"/>
        <w:numPr>
          <w:ilvl w:val="0"/>
          <w:numId w:val="2"/>
        </w:numPr>
        <w:tabs>
          <w:tab w:pos="1197" w:val="left" w:leader="none"/>
        </w:tabs>
        <w:spacing w:line="283" w:lineRule="auto" w:before="57" w:after="0"/>
        <w:ind w:left="162" w:right="159" w:firstLine="719"/>
        <w:jc w:val="both"/>
        <w:rPr>
          <w:sz w:val="28"/>
        </w:rPr>
      </w:pPr>
      <w:r>
        <w:rPr>
          <w:sz w:val="28"/>
        </w:rPr>
        <w:t>Đình chỉ giải quyết việc kháng cáo đối với Quyết định đình chỉ giải quyết vụ án kinh doanh thương mại sơ thẩm số 05/2022/QĐST-KDTM ngày 05 tháng 9 năm 2022 của Toà án nhân dân huyện T, tỉnh Vĩnh Phúc.</w:t>
      </w:r>
    </w:p>
    <w:p>
      <w:pPr>
        <w:pStyle w:val="ListParagraph"/>
        <w:numPr>
          <w:ilvl w:val="0"/>
          <w:numId w:val="2"/>
        </w:numPr>
        <w:tabs>
          <w:tab w:pos="1185" w:val="left" w:leader="none"/>
        </w:tabs>
        <w:spacing w:line="283" w:lineRule="auto" w:before="1" w:after="0"/>
        <w:ind w:left="162" w:right="160" w:firstLine="719"/>
        <w:jc w:val="both"/>
        <w:rPr>
          <w:sz w:val="28"/>
        </w:rPr>
      </w:pPr>
      <w:r>
        <w:rPr>
          <w:sz w:val="28"/>
        </w:rPr>
        <w:t>Quyết định đình chỉ giải quyết vụ án kinh doanh thương mại sơ thẩm số 05/2022/QĐST-KDTM ngày 05 tháng 9 năm 2022 của Toà án nhân dân huyện T có hiệu lực pháp luật kể từ ngày ra quyết định này.</w:t>
      </w:r>
    </w:p>
    <w:p>
      <w:pPr>
        <w:spacing w:after="0" w:line="283" w:lineRule="auto"/>
        <w:jc w:val="both"/>
        <w:rPr>
          <w:sz w:val="28"/>
        </w:rPr>
        <w:sectPr>
          <w:type w:val="continuous"/>
          <w:pgSz w:w="11910" w:h="16840"/>
          <w:pgMar w:top="1100" w:bottom="280" w:left="1540" w:right="1020"/>
        </w:sectPr>
      </w:pPr>
    </w:p>
    <w:p>
      <w:pPr>
        <w:pStyle w:val="ListParagraph"/>
        <w:numPr>
          <w:ilvl w:val="0"/>
          <w:numId w:val="2"/>
        </w:numPr>
        <w:tabs>
          <w:tab w:pos="1170" w:val="left" w:leader="none"/>
        </w:tabs>
        <w:spacing w:line="283" w:lineRule="auto" w:before="77" w:after="0"/>
        <w:ind w:left="162" w:right="106" w:firstLine="719"/>
        <w:jc w:val="both"/>
        <w:rPr>
          <w:sz w:val="28"/>
        </w:rPr>
      </w:pPr>
      <w:r>
        <w:rPr>
          <w:sz w:val="28"/>
        </w:rPr>
        <w:t>Nguyên đơn Ngân hàng nông nghiệp và phát triển nông thôn Việt Nam không phải chịu án phí dân sự phúc thẩm và được hoàn trả số tiền 300.000 đồng tạm ứng án phí phúc thẩm theo biên lai số</w:t>
      </w:r>
      <w:r>
        <w:rPr>
          <w:spacing w:val="38"/>
          <w:sz w:val="28"/>
        </w:rPr>
        <w:t> </w:t>
      </w:r>
      <w:r>
        <w:rPr>
          <w:sz w:val="28"/>
        </w:rPr>
        <w:t>0003131 ngày 11/10/2022 của Chi cục Thi hành án dân sự huyện T.</w:t>
      </w:r>
    </w:p>
    <w:p>
      <w:pPr>
        <w:pStyle w:val="BodyText"/>
        <w:ind w:left="0" w:firstLine="0"/>
        <w:jc w:val="left"/>
        <w:rPr>
          <w:sz w:val="20"/>
        </w:rPr>
      </w:pPr>
    </w:p>
    <w:p>
      <w:pPr>
        <w:pStyle w:val="BodyText"/>
        <w:ind w:left="0" w:firstLine="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4"/>
        <w:gridCol w:w="3554"/>
      </w:tblGrid>
      <w:tr>
        <w:trPr>
          <w:trHeight w:val="1851" w:hRule="atLeast"/>
        </w:trPr>
        <w:tc>
          <w:tcPr>
            <w:tcW w:w="427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55" w:after="0"/>
              <w:ind w:left="189" w:right="0" w:hanging="140"/>
              <w:jc w:val="left"/>
              <w:rPr>
                <w:sz w:val="24"/>
              </w:rPr>
            </w:pPr>
            <w:r>
              <w:rPr>
                <w:sz w:val="22"/>
              </w:rPr>
              <w:t>VKSND</w:t>
            </w:r>
            <w:r>
              <w:rPr>
                <w:spacing w:val="-5"/>
                <w:sz w:val="22"/>
              </w:rPr>
              <w:t> </w:t>
            </w:r>
            <w:r>
              <w:rPr>
                <w:sz w:val="22"/>
              </w:rPr>
              <w:t>tỉnh</w:t>
            </w:r>
            <w:r>
              <w:rPr>
                <w:spacing w:val="-4"/>
                <w:sz w:val="22"/>
              </w:rPr>
              <w:t> </w:t>
            </w:r>
            <w:r>
              <w:rPr>
                <w:sz w:val="22"/>
              </w:rPr>
              <w:t>Vĩnh</w:t>
            </w:r>
            <w:r>
              <w:rPr>
                <w:spacing w:val="-1"/>
                <w:sz w:val="22"/>
              </w:rPr>
              <w:t> </w:t>
            </w:r>
            <w:r>
              <w:rPr>
                <w:spacing w:val="-4"/>
                <w:sz w:val="22"/>
              </w:rPr>
              <w:t>Phúc;</w:t>
            </w:r>
          </w:p>
          <w:p>
            <w:pPr>
              <w:pStyle w:val="TableParagraph"/>
              <w:numPr>
                <w:ilvl w:val="0"/>
                <w:numId w:val="3"/>
              </w:numPr>
              <w:tabs>
                <w:tab w:pos="175" w:val="left" w:leader="none"/>
              </w:tabs>
              <w:spacing w:line="240" w:lineRule="auto" w:before="62"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T;</w:t>
            </w:r>
          </w:p>
          <w:p>
            <w:pPr>
              <w:pStyle w:val="TableParagraph"/>
              <w:numPr>
                <w:ilvl w:val="0"/>
                <w:numId w:val="3"/>
              </w:numPr>
              <w:tabs>
                <w:tab w:pos="178" w:val="left" w:leader="none"/>
              </w:tabs>
              <w:spacing w:line="240" w:lineRule="auto" w:before="59"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pacing w:val="-5"/>
                <w:sz w:val="22"/>
              </w:rPr>
              <w:t>T;</w:t>
            </w:r>
          </w:p>
          <w:p>
            <w:pPr>
              <w:pStyle w:val="TableParagraph"/>
              <w:numPr>
                <w:ilvl w:val="0"/>
                <w:numId w:val="3"/>
              </w:numPr>
              <w:tabs>
                <w:tab w:pos="178" w:val="left" w:leader="none"/>
              </w:tabs>
              <w:spacing w:line="240" w:lineRule="auto" w:before="6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33" w:lineRule="exact" w:before="6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54" w:type="dxa"/>
          </w:tcPr>
          <w:p>
            <w:pPr>
              <w:pStyle w:val="TableParagraph"/>
              <w:spacing w:line="313" w:lineRule="exact"/>
              <w:ind w:left="1774" w:right="40"/>
              <w:jc w:val="center"/>
              <w:rPr>
                <w:b/>
                <w:sz w:val="28"/>
              </w:rPr>
            </w:pPr>
            <w:r>
              <w:rPr>
                <w:b/>
                <w:spacing w:val="-2"/>
                <w:sz w:val="28"/>
              </w:rPr>
              <w:t>THẨM</w:t>
            </w:r>
            <w:r>
              <w:rPr>
                <w:b/>
                <w:spacing w:val="-12"/>
                <w:sz w:val="28"/>
              </w:rPr>
              <w:t> </w:t>
            </w:r>
            <w:r>
              <w:rPr>
                <w:b/>
                <w:spacing w:val="-4"/>
                <w:sz w:val="28"/>
              </w:rPr>
              <w:t>PHÁN</w:t>
            </w:r>
          </w:p>
          <w:p>
            <w:pPr>
              <w:pStyle w:val="TableParagraph"/>
              <w:spacing w:before="10"/>
              <w:rPr>
                <w:sz w:val="37"/>
              </w:rPr>
            </w:pPr>
          </w:p>
          <w:p>
            <w:pPr>
              <w:pStyle w:val="TableParagraph"/>
              <w:spacing w:before="1"/>
              <w:ind w:left="1774" w:right="40"/>
              <w:jc w:val="center"/>
              <w:rPr>
                <w:sz w:val="28"/>
              </w:rPr>
            </w:pPr>
            <w:r>
              <w:rPr>
                <w:sz w:val="28"/>
              </w:rPr>
              <w:t>(đã</w:t>
            </w:r>
            <w:r>
              <w:rPr>
                <w:spacing w:val="-2"/>
                <w:sz w:val="28"/>
              </w:rPr>
              <w:t> </w:t>
            </w:r>
            <w:r>
              <w:rPr>
                <w:spacing w:val="-5"/>
                <w:sz w:val="28"/>
              </w:rPr>
              <w:t>ký)</w:t>
            </w:r>
          </w:p>
          <w:p>
            <w:pPr>
              <w:pStyle w:val="TableParagraph"/>
              <w:spacing w:before="9"/>
              <w:rPr>
                <w:sz w:val="38"/>
              </w:rPr>
            </w:pPr>
          </w:p>
          <w:p>
            <w:pPr>
              <w:pStyle w:val="TableParagraph"/>
              <w:spacing w:line="313" w:lineRule="exact"/>
              <w:ind w:left="1774" w:right="38"/>
              <w:jc w:val="center"/>
              <w:rPr>
                <w:b/>
                <w:sz w:val="28"/>
              </w:rPr>
            </w:pPr>
            <w:r>
              <w:rPr>
                <w:b/>
                <w:sz w:val="28"/>
              </w:rPr>
              <w:t>Vũ</w:t>
            </w:r>
            <w:r>
              <w:rPr>
                <w:b/>
                <w:spacing w:val="-5"/>
                <w:sz w:val="28"/>
              </w:rPr>
              <w:t> </w:t>
            </w:r>
            <w:r>
              <w:rPr>
                <w:b/>
                <w:sz w:val="28"/>
              </w:rPr>
              <w:t>Văn</w:t>
            </w:r>
            <w:r>
              <w:rPr>
                <w:b/>
                <w:spacing w:val="-2"/>
                <w:sz w:val="28"/>
              </w:rPr>
              <w:t> </w:t>
            </w:r>
            <w:r>
              <w:rPr>
                <w:b/>
                <w:spacing w:val="-4"/>
                <w:sz w:val="28"/>
              </w:rPr>
              <w:t>Mạnh</w:t>
            </w:r>
          </w:p>
        </w:tc>
      </w:tr>
    </w:tbl>
    <w:p>
      <w:pPr>
        <w:spacing w:after="0" w:line="313" w:lineRule="exact"/>
        <w:jc w:val="center"/>
        <w:rPr>
          <w:sz w:val="28"/>
        </w:rPr>
        <w:sectPr>
          <w:pgSz w:w="11910" w:h="16840"/>
          <w:pgMar w:top="1080" w:bottom="280" w:left="1540" w:right="1020"/>
        </w:sectPr>
      </w:pPr>
    </w:p>
    <w:p>
      <w:pPr>
        <w:pStyle w:val="BodyText"/>
        <w:spacing w:before="4"/>
        <w:ind w:left="0" w:firstLine="0"/>
        <w:jc w:val="left"/>
        <w:rPr>
          <w:sz w:val="17"/>
        </w:rPr>
      </w:pPr>
    </w:p>
    <w:sectPr>
      <w:pgSz w:w="11910" w:h="16840"/>
      <w:pgMar w:top="19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89" w:hanging="140"/>
      </w:pPr>
      <w:rPr>
        <w:rFonts w:hint="default"/>
        <w:lang w:val="vi" w:eastAsia="en-US" w:bidi="ar-SA"/>
      </w:rPr>
    </w:lvl>
    <w:lvl w:ilvl="2">
      <w:start w:val="0"/>
      <w:numFmt w:val="bullet"/>
      <w:lvlText w:val="•"/>
      <w:lvlJc w:val="left"/>
      <w:pPr>
        <w:ind w:left="998" w:hanging="140"/>
      </w:pPr>
      <w:rPr>
        <w:rFonts w:hint="default"/>
        <w:lang w:val="vi" w:eastAsia="en-US" w:bidi="ar-SA"/>
      </w:rPr>
    </w:lvl>
    <w:lvl w:ilvl="3">
      <w:start w:val="0"/>
      <w:numFmt w:val="bullet"/>
      <w:lvlText w:val="•"/>
      <w:lvlJc w:val="left"/>
      <w:pPr>
        <w:ind w:left="1408" w:hanging="140"/>
      </w:pPr>
      <w:rPr>
        <w:rFonts w:hint="default"/>
        <w:lang w:val="vi" w:eastAsia="en-US" w:bidi="ar-SA"/>
      </w:rPr>
    </w:lvl>
    <w:lvl w:ilvl="4">
      <w:start w:val="0"/>
      <w:numFmt w:val="bullet"/>
      <w:lvlText w:val="•"/>
      <w:lvlJc w:val="left"/>
      <w:pPr>
        <w:ind w:left="1817" w:hanging="140"/>
      </w:pPr>
      <w:rPr>
        <w:rFonts w:hint="default"/>
        <w:lang w:val="vi" w:eastAsia="en-US" w:bidi="ar-SA"/>
      </w:rPr>
    </w:lvl>
    <w:lvl w:ilvl="5">
      <w:start w:val="0"/>
      <w:numFmt w:val="bullet"/>
      <w:lvlText w:val="•"/>
      <w:lvlJc w:val="left"/>
      <w:pPr>
        <w:ind w:left="2227" w:hanging="140"/>
      </w:pPr>
      <w:rPr>
        <w:rFonts w:hint="default"/>
        <w:lang w:val="vi" w:eastAsia="en-US" w:bidi="ar-SA"/>
      </w:rPr>
    </w:lvl>
    <w:lvl w:ilvl="6">
      <w:start w:val="0"/>
      <w:numFmt w:val="bullet"/>
      <w:lvlText w:val="•"/>
      <w:lvlJc w:val="left"/>
      <w:pPr>
        <w:ind w:left="2636" w:hanging="140"/>
      </w:pPr>
      <w:rPr>
        <w:rFonts w:hint="default"/>
        <w:lang w:val="vi" w:eastAsia="en-US" w:bidi="ar-SA"/>
      </w:rPr>
    </w:lvl>
    <w:lvl w:ilvl="7">
      <w:start w:val="0"/>
      <w:numFmt w:val="bullet"/>
      <w:lvlText w:val="•"/>
      <w:lvlJc w:val="left"/>
      <w:pPr>
        <w:ind w:left="3045" w:hanging="140"/>
      </w:pPr>
      <w:rPr>
        <w:rFonts w:hint="default"/>
        <w:lang w:val="vi" w:eastAsia="en-US" w:bidi="ar-SA"/>
      </w:rPr>
    </w:lvl>
    <w:lvl w:ilvl="8">
      <w:start w:val="0"/>
      <w:numFmt w:val="bullet"/>
      <w:lvlText w:val="•"/>
      <w:lvlJc w:val="left"/>
      <w:pPr>
        <w:ind w:left="3455" w:hanging="140"/>
      </w:pPr>
      <w:rPr>
        <w:rFonts w:hint="default"/>
        <w:lang w:val="vi" w:eastAsia="en-US" w:bidi="ar-SA"/>
      </w:rPr>
    </w:lvl>
  </w:abstractNum>
  <w:abstractNum w:abstractNumId="1">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15"/>
      </w:pPr>
      <w:rPr>
        <w:rFonts w:hint="default"/>
        <w:lang w:val="vi" w:eastAsia="en-US" w:bidi="ar-SA"/>
      </w:rPr>
    </w:lvl>
    <w:lvl w:ilvl="2">
      <w:start w:val="0"/>
      <w:numFmt w:val="bullet"/>
      <w:lvlText w:val="•"/>
      <w:lvlJc w:val="left"/>
      <w:pPr>
        <w:ind w:left="1997" w:hanging="315"/>
      </w:pPr>
      <w:rPr>
        <w:rFonts w:hint="default"/>
        <w:lang w:val="vi" w:eastAsia="en-US" w:bidi="ar-SA"/>
      </w:rPr>
    </w:lvl>
    <w:lvl w:ilvl="3">
      <w:start w:val="0"/>
      <w:numFmt w:val="bullet"/>
      <w:lvlText w:val="•"/>
      <w:lvlJc w:val="left"/>
      <w:pPr>
        <w:ind w:left="2915" w:hanging="315"/>
      </w:pPr>
      <w:rPr>
        <w:rFonts w:hint="default"/>
        <w:lang w:val="vi" w:eastAsia="en-US" w:bidi="ar-SA"/>
      </w:rPr>
    </w:lvl>
    <w:lvl w:ilvl="4">
      <w:start w:val="0"/>
      <w:numFmt w:val="bullet"/>
      <w:lvlText w:val="•"/>
      <w:lvlJc w:val="left"/>
      <w:pPr>
        <w:ind w:left="3834" w:hanging="315"/>
      </w:pPr>
      <w:rPr>
        <w:rFonts w:hint="default"/>
        <w:lang w:val="vi" w:eastAsia="en-US" w:bidi="ar-SA"/>
      </w:rPr>
    </w:lvl>
    <w:lvl w:ilvl="5">
      <w:start w:val="0"/>
      <w:numFmt w:val="bullet"/>
      <w:lvlText w:val="•"/>
      <w:lvlJc w:val="left"/>
      <w:pPr>
        <w:ind w:left="4753" w:hanging="315"/>
      </w:pPr>
      <w:rPr>
        <w:rFonts w:hint="default"/>
        <w:lang w:val="vi" w:eastAsia="en-US" w:bidi="ar-SA"/>
      </w:rPr>
    </w:lvl>
    <w:lvl w:ilvl="6">
      <w:start w:val="0"/>
      <w:numFmt w:val="bullet"/>
      <w:lvlText w:val="•"/>
      <w:lvlJc w:val="left"/>
      <w:pPr>
        <w:ind w:left="5671" w:hanging="315"/>
      </w:pPr>
      <w:rPr>
        <w:rFonts w:hint="default"/>
        <w:lang w:val="vi" w:eastAsia="en-US" w:bidi="ar-SA"/>
      </w:rPr>
    </w:lvl>
    <w:lvl w:ilvl="7">
      <w:start w:val="0"/>
      <w:numFmt w:val="bullet"/>
      <w:lvlText w:val="•"/>
      <w:lvlJc w:val="left"/>
      <w:pPr>
        <w:ind w:left="6590" w:hanging="315"/>
      </w:pPr>
      <w:rPr>
        <w:rFonts w:hint="default"/>
        <w:lang w:val="vi" w:eastAsia="en-US" w:bidi="ar-SA"/>
      </w:rPr>
    </w:lvl>
    <w:lvl w:ilvl="8">
      <w:start w:val="0"/>
      <w:numFmt w:val="bullet"/>
      <w:lvlText w:val="•"/>
      <w:lvlJc w:val="left"/>
      <w:pPr>
        <w:ind w:left="7509" w:hanging="315"/>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8"/>
      </w:pPr>
      <w:rPr>
        <w:rFonts w:hint="default"/>
        <w:lang w:val="vi" w:eastAsia="en-US" w:bidi="ar-SA"/>
      </w:rPr>
    </w:lvl>
    <w:lvl w:ilvl="2">
      <w:start w:val="0"/>
      <w:numFmt w:val="bullet"/>
      <w:lvlText w:val="•"/>
      <w:lvlJc w:val="left"/>
      <w:pPr>
        <w:ind w:left="1997" w:hanging="168"/>
      </w:pPr>
      <w:rPr>
        <w:rFonts w:hint="default"/>
        <w:lang w:val="vi" w:eastAsia="en-US" w:bidi="ar-SA"/>
      </w:rPr>
    </w:lvl>
    <w:lvl w:ilvl="3">
      <w:start w:val="0"/>
      <w:numFmt w:val="bullet"/>
      <w:lvlText w:val="•"/>
      <w:lvlJc w:val="left"/>
      <w:pPr>
        <w:ind w:left="2915" w:hanging="168"/>
      </w:pPr>
      <w:rPr>
        <w:rFonts w:hint="default"/>
        <w:lang w:val="vi" w:eastAsia="en-US" w:bidi="ar-SA"/>
      </w:rPr>
    </w:lvl>
    <w:lvl w:ilvl="4">
      <w:start w:val="0"/>
      <w:numFmt w:val="bullet"/>
      <w:lvlText w:val="•"/>
      <w:lvlJc w:val="left"/>
      <w:pPr>
        <w:ind w:left="3834" w:hanging="168"/>
      </w:pPr>
      <w:rPr>
        <w:rFonts w:hint="default"/>
        <w:lang w:val="vi" w:eastAsia="en-US" w:bidi="ar-SA"/>
      </w:rPr>
    </w:lvl>
    <w:lvl w:ilvl="5">
      <w:start w:val="0"/>
      <w:numFmt w:val="bullet"/>
      <w:lvlText w:val="•"/>
      <w:lvlJc w:val="left"/>
      <w:pPr>
        <w:ind w:left="4753" w:hanging="168"/>
      </w:pPr>
      <w:rPr>
        <w:rFonts w:hint="default"/>
        <w:lang w:val="vi" w:eastAsia="en-US" w:bidi="ar-SA"/>
      </w:rPr>
    </w:lvl>
    <w:lvl w:ilvl="6">
      <w:start w:val="0"/>
      <w:numFmt w:val="bullet"/>
      <w:lvlText w:val="•"/>
      <w:lvlJc w:val="left"/>
      <w:pPr>
        <w:ind w:left="5671" w:hanging="168"/>
      </w:pPr>
      <w:rPr>
        <w:rFonts w:hint="default"/>
        <w:lang w:val="vi" w:eastAsia="en-US" w:bidi="ar-SA"/>
      </w:rPr>
    </w:lvl>
    <w:lvl w:ilvl="7">
      <w:start w:val="0"/>
      <w:numFmt w:val="bullet"/>
      <w:lvlText w:val="•"/>
      <w:lvlJc w:val="left"/>
      <w:pPr>
        <w:ind w:left="6590" w:hanging="168"/>
      </w:pPr>
      <w:rPr>
        <w:rFonts w:hint="default"/>
        <w:lang w:val="vi" w:eastAsia="en-US" w:bidi="ar-SA"/>
      </w:rPr>
    </w:lvl>
    <w:lvl w:ilvl="8">
      <w:start w:val="0"/>
      <w:numFmt w:val="bullet"/>
      <w:lvlText w:val="•"/>
      <w:lvlJc w:val="left"/>
      <w:pPr>
        <w:ind w:left="7509"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49" w:right="64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2023-04-24T17:05:30Z</dcterms:created>
  <dcterms:modified xsi:type="dcterms:W3CDTF">2023-04-24T17:05:30Z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