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2"/>
        <w:gridCol w:w="6175"/>
      </w:tblGrid>
      <w:tr>
        <w:trPr>
          <w:trHeight w:val="1955" w:hRule="atLeast"/>
        </w:trPr>
        <w:tc>
          <w:tcPr>
            <w:tcW w:w="3472" w:type="dxa"/>
          </w:tcPr>
          <w:p>
            <w:pPr>
              <w:pStyle w:val="TableParagraph"/>
              <w:spacing w:line="285" w:lineRule="auto" w:after="79"/>
              <w:ind w:left="294" w:right="5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TÒA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ÁN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DÂN HUYỆN NINH SƠN TỈNH NINH THUẬN</w:t>
            </w:r>
          </w:p>
          <w:p>
            <w:pPr>
              <w:pStyle w:val="TableParagraph"/>
              <w:spacing w:line="20" w:lineRule="exact"/>
              <w:ind w:left="800"/>
              <w:rPr>
                <w:sz w:val="2"/>
              </w:rPr>
            </w:pPr>
            <w:r>
              <w:rPr>
                <w:sz w:val="2"/>
              </w:rPr>
              <w:pict>
                <v:group style="width:73.2pt;height:.75pt;mso-position-horizontal-relative:char;mso-position-vertical-relative:line" id="docshapegroup1" coordorigin="0,0" coordsize="1464,15">
                  <v:line style="position:absolute" from="0,8" to="1464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65"/>
              <w:ind w:left="48" w:right="278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51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6175" w:type="dxa"/>
          </w:tcPr>
          <w:p>
            <w:pPr>
              <w:pStyle w:val="TableParagraph"/>
              <w:spacing w:line="311" w:lineRule="exact"/>
              <w:ind w:left="281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HÒA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spacing w:before="62"/>
              <w:ind w:left="1489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spacing w:line="20" w:lineRule="exact"/>
              <w:ind w:left="1637"/>
              <w:rPr>
                <w:sz w:val="2"/>
              </w:rPr>
            </w:pPr>
            <w:r>
              <w:rPr>
                <w:sz w:val="2"/>
              </w:rPr>
              <w:pict>
                <v:group style="width:172.35pt;height:.75pt;mso-position-horizontal-relative:char;mso-position-vertical-relative:line" id="docshapegroup2" coordorigin="0,0" coordsize="3447,15">
                  <v:line style="position:absolute" from="0,8" to="3447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41"/>
              </w:rPr>
            </w:pPr>
          </w:p>
          <w:p>
            <w:pPr>
              <w:pStyle w:val="TableParagraph"/>
              <w:spacing w:line="302" w:lineRule="exact"/>
              <w:ind w:left="1635"/>
              <w:rPr>
                <w:i/>
                <w:sz w:val="28"/>
              </w:rPr>
            </w:pPr>
            <w:r>
              <w:rPr>
                <w:i/>
                <w:sz w:val="28"/>
              </w:rPr>
              <w:t>Ninh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Sơn,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24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7"/>
        <w:ind w:left="0"/>
        <w:rPr>
          <w:sz w:val="22"/>
        </w:rPr>
      </w:pPr>
    </w:p>
    <w:p>
      <w:pPr>
        <w:pStyle w:val="Heading1"/>
        <w:ind w:left="3813" w:right="4242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122"/>
        <w:ind w:left="959" w:right="1389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GIA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ĐÌNH</w:t>
      </w:r>
    </w:p>
    <w:p>
      <w:pPr>
        <w:pStyle w:val="BodyText"/>
        <w:spacing w:before="3"/>
        <w:ind w:left="0"/>
        <w:rPr>
          <w:b/>
          <w:sz w:val="43"/>
        </w:rPr>
      </w:pPr>
    </w:p>
    <w:p>
      <w:pPr>
        <w:pStyle w:val="BodyText"/>
        <w:spacing w:before="0"/>
        <w:ind w:right="488" w:firstLine="566"/>
        <w:jc w:val="both"/>
      </w:pPr>
      <w:r>
        <w:rPr/>
        <w:t>Căn</w:t>
      </w:r>
      <w:r>
        <w:rPr>
          <w:spacing w:val="31"/>
        </w:rPr>
        <w:t> </w:t>
      </w:r>
      <w:r>
        <w:rPr/>
        <w:t>cứ</w:t>
      </w:r>
      <w:r>
        <w:rPr>
          <w:spacing w:val="29"/>
        </w:rPr>
        <w:t> </w:t>
      </w:r>
      <w:r>
        <w:rPr/>
        <w:t>vào</w:t>
      </w:r>
      <w:r>
        <w:rPr>
          <w:spacing w:val="31"/>
        </w:rPr>
        <w:t> </w:t>
      </w:r>
      <w:r>
        <w:rPr/>
        <w:t>các</w:t>
      </w:r>
      <w:r>
        <w:rPr>
          <w:spacing w:val="37"/>
        </w:rPr>
        <w:t> </w:t>
      </w:r>
      <w:r>
        <w:rPr/>
        <w:t>Điều</w:t>
      </w:r>
      <w:r>
        <w:rPr>
          <w:spacing w:val="32"/>
        </w:rPr>
        <w:t> </w:t>
      </w:r>
      <w:r>
        <w:rPr/>
        <w:t>48,</w:t>
      </w:r>
      <w:r>
        <w:rPr>
          <w:spacing w:val="25"/>
        </w:rPr>
        <w:t> </w:t>
      </w:r>
      <w:r>
        <w:rPr/>
        <w:t>217,</w:t>
      </w:r>
      <w:r>
        <w:rPr>
          <w:spacing w:val="29"/>
        </w:rPr>
        <w:t> </w:t>
      </w:r>
      <w:r>
        <w:rPr/>
        <w:t>218,</w:t>
      </w:r>
      <w:r>
        <w:rPr>
          <w:spacing w:val="25"/>
        </w:rPr>
        <w:t> </w:t>
      </w:r>
      <w:r>
        <w:rPr/>
        <w:t>219</w:t>
      </w:r>
      <w:r>
        <w:rPr>
          <w:spacing w:val="31"/>
        </w:rPr>
        <w:t> </w:t>
      </w:r>
      <w:r>
        <w:rPr/>
        <w:t>và</w:t>
      </w:r>
      <w:r>
        <w:rPr>
          <w:spacing w:val="30"/>
        </w:rPr>
        <w:t> </w:t>
      </w:r>
      <w:r>
        <w:rPr/>
        <w:t>khoản</w:t>
      </w:r>
      <w:r>
        <w:rPr>
          <w:spacing w:val="28"/>
        </w:rPr>
        <w:t> </w:t>
      </w:r>
      <w:r>
        <w:rPr/>
        <w:t>2</w:t>
      </w:r>
      <w:r>
        <w:rPr>
          <w:spacing w:val="33"/>
        </w:rPr>
        <w:t> </w:t>
      </w:r>
      <w:r>
        <w:rPr/>
        <w:t>Điều</w:t>
      </w:r>
      <w:r>
        <w:rPr>
          <w:spacing w:val="28"/>
        </w:rPr>
        <w:t> </w:t>
      </w:r>
      <w:r>
        <w:rPr/>
        <w:t>273</w:t>
      </w:r>
      <w:r>
        <w:rPr>
          <w:spacing w:val="31"/>
        </w:rPr>
        <w:t> </w:t>
      </w:r>
      <w:r>
        <w:rPr/>
        <w:t>của</w:t>
      </w:r>
      <w:r>
        <w:rPr>
          <w:spacing w:val="30"/>
        </w:rPr>
        <w:t> </w:t>
      </w:r>
      <w:r>
        <w:rPr/>
        <w:t>Bộ</w:t>
      </w:r>
      <w:r>
        <w:rPr>
          <w:spacing w:val="31"/>
        </w:rPr>
        <w:t> </w:t>
      </w:r>
      <w:r>
        <w:rPr/>
        <w:t>luật tố tụng dân sự;</w:t>
      </w:r>
    </w:p>
    <w:p>
      <w:pPr>
        <w:pStyle w:val="BodyText"/>
        <w:spacing w:before="59"/>
        <w:ind w:right="467" w:firstLine="719"/>
        <w:jc w:val="both"/>
      </w:pPr>
      <w:r>
        <w:rPr/>
        <w:t>Sau khi nghiên cứu hồ sơ vụ án Hôn nhân và Gia đình sơ thẩm thụ lý số 59/2022/TLST-HNGĐ ngày 13 tháng 10 năm 2022;</w:t>
      </w:r>
    </w:p>
    <w:p>
      <w:pPr>
        <w:pStyle w:val="BodyText"/>
        <w:spacing w:before="62"/>
        <w:ind w:right="462" w:firstLine="566"/>
        <w:jc w:val="both"/>
      </w:pPr>
      <w:r>
        <w:rPr/>
        <w:t>Xét thấy: Ngày 24 tháng 11 năm 2022, nguyên đơn ông Trần Văn T tự nguyện rút toàn bộ yêu cầu khởi kiện và được Tòa</w:t>
      </w:r>
      <w:r>
        <w:rPr>
          <w:spacing w:val="-1"/>
        </w:rPr>
        <w:t> </w:t>
      </w:r>
      <w:r>
        <w:rPr/>
        <w:t>án chấp nhận theo quy</w:t>
      </w:r>
      <w:r>
        <w:rPr>
          <w:spacing w:val="-1"/>
        </w:rPr>
        <w:t> </w:t>
      </w:r>
      <w:r>
        <w:rPr/>
        <w:t>định tại điểm c khoản 1 Điều 217 của Bộ luật tố tụng dân sự.</w:t>
      </w:r>
    </w:p>
    <w:p>
      <w:pPr>
        <w:pStyle w:val="Heading1"/>
        <w:spacing w:before="244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40" w:lineRule="auto" w:before="235" w:after="0"/>
        <w:ind w:left="182" w:right="469" w:firstLine="566"/>
        <w:jc w:val="left"/>
        <w:rPr>
          <w:sz w:val="28"/>
        </w:rPr>
      </w:pPr>
      <w:r>
        <w:rPr>
          <w:sz w:val="28"/>
        </w:rPr>
        <w:t>Đình</w:t>
      </w:r>
      <w:r>
        <w:rPr>
          <w:spacing w:val="40"/>
          <w:sz w:val="28"/>
        </w:rPr>
        <w:t> </w:t>
      </w:r>
      <w:r>
        <w:rPr>
          <w:sz w:val="28"/>
        </w:rPr>
        <w:t>chỉ</w:t>
      </w:r>
      <w:r>
        <w:rPr>
          <w:spacing w:val="40"/>
          <w:sz w:val="28"/>
        </w:rPr>
        <w:t> </w:t>
      </w:r>
      <w:r>
        <w:rPr>
          <w:sz w:val="28"/>
        </w:rPr>
        <w:t>giải</w:t>
      </w:r>
      <w:r>
        <w:rPr>
          <w:spacing w:val="40"/>
          <w:sz w:val="28"/>
        </w:rPr>
        <w:t> </w:t>
      </w:r>
      <w:r>
        <w:rPr>
          <w:sz w:val="28"/>
        </w:rPr>
        <w:t>quyết</w:t>
      </w:r>
      <w:r>
        <w:rPr>
          <w:spacing w:val="40"/>
          <w:sz w:val="28"/>
        </w:rPr>
        <w:t> </w:t>
      </w:r>
      <w:r>
        <w:rPr>
          <w:sz w:val="28"/>
        </w:rPr>
        <w:t>vụ</w:t>
      </w:r>
      <w:r>
        <w:rPr>
          <w:spacing w:val="40"/>
          <w:sz w:val="28"/>
        </w:rPr>
        <w:t> </w:t>
      </w:r>
      <w:r>
        <w:rPr>
          <w:sz w:val="28"/>
        </w:rPr>
        <w:t>án</w:t>
      </w:r>
      <w:r>
        <w:rPr>
          <w:spacing w:val="40"/>
          <w:sz w:val="28"/>
        </w:rPr>
        <w:t> </w:t>
      </w:r>
      <w:r>
        <w:rPr>
          <w:sz w:val="28"/>
        </w:rPr>
        <w:t>Hôn</w:t>
      </w:r>
      <w:r>
        <w:rPr>
          <w:spacing w:val="40"/>
          <w:sz w:val="28"/>
        </w:rPr>
        <w:t> </w:t>
      </w:r>
      <w:r>
        <w:rPr>
          <w:sz w:val="28"/>
        </w:rPr>
        <w:t>nhân</w:t>
      </w:r>
      <w:r>
        <w:rPr>
          <w:spacing w:val="40"/>
          <w:sz w:val="28"/>
        </w:rPr>
        <w:t> </w:t>
      </w:r>
      <w:r>
        <w:rPr>
          <w:sz w:val="28"/>
        </w:rPr>
        <w:t>và</w:t>
      </w:r>
      <w:r>
        <w:rPr>
          <w:spacing w:val="40"/>
          <w:sz w:val="28"/>
        </w:rPr>
        <w:t> </w:t>
      </w:r>
      <w:r>
        <w:rPr>
          <w:sz w:val="28"/>
        </w:rPr>
        <w:t>Gia</w:t>
      </w:r>
      <w:r>
        <w:rPr>
          <w:spacing w:val="40"/>
          <w:sz w:val="28"/>
        </w:rPr>
        <w:t> </w:t>
      </w:r>
      <w:r>
        <w:rPr>
          <w:sz w:val="28"/>
        </w:rPr>
        <w:t>đình</w:t>
      </w:r>
      <w:r>
        <w:rPr>
          <w:spacing w:val="40"/>
          <w:sz w:val="28"/>
        </w:rPr>
        <w:t> </w:t>
      </w:r>
      <w:r>
        <w:rPr>
          <w:sz w:val="28"/>
        </w:rPr>
        <w:t>sơ</w:t>
      </w:r>
      <w:r>
        <w:rPr>
          <w:spacing w:val="40"/>
          <w:sz w:val="28"/>
        </w:rPr>
        <w:t> </w:t>
      </w:r>
      <w:r>
        <w:rPr>
          <w:sz w:val="28"/>
        </w:rPr>
        <w:t>thẩm</w:t>
      </w:r>
      <w:r>
        <w:rPr>
          <w:spacing w:val="40"/>
          <w:sz w:val="28"/>
        </w:rPr>
        <w:t> </w:t>
      </w:r>
      <w:r>
        <w:rPr>
          <w:sz w:val="28"/>
        </w:rPr>
        <w:t>thụ</w:t>
      </w:r>
      <w:r>
        <w:rPr>
          <w:spacing w:val="40"/>
          <w:sz w:val="28"/>
        </w:rPr>
        <w:t> </w:t>
      </w:r>
      <w:r>
        <w:rPr>
          <w:sz w:val="28"/>
        </w:rPr>
        <w:t>lý</w:t>
      </w:r>
      <w:r>
        <w:rPr>
          <w:spacing w:val="40"/>
          <w:sz w:val="28"/>
        </w:rPr>
        <w:t> </w:t>
      </w:r>
      <w:r>
        <w:rPr>
          <w:sz w:val="28"/>
        </w:rPr>
        <w:t>số: 59/2022/TLST-HNGĐ ngày 13 tháng 10 năm 2022 về việc “Ly hôn” giữa:</w:t>
      </w:r>
    </w:p>
    <w:p>
      <w:pPr>
        <w:pStyle w:val="ListParagraph"/>
        <w:numPr>
          <w:ilvl w:val="1"/>
          <w:numId w:val="1"/>
        </w:numPr>
        <w:tabs>
          <w:tab w:pos="912" w:val="left" w:leader="none"/>
        </w:tabs>
        <w:spacing w:line="240" w:lineRule="auto" w:before="59" w:after="0"/>
        <w:ind w:left="911" w:right="0" w:hanging="164"/>
        <w:jc w:val="left"/>
        <w:rPr>
          <w:b/>
          <w:sz w:val="28"/>
        </w:rPr>
      </w:pPr>
      <w:r>
        <w:rPr>
          <w:b/>
          <w:sz w:val="28"/>
        </w:rPr>
        <w:t>Nguyên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đơn:</w:t>
      </w:r>
      <w:r>
        <w:rPr>
          <w:b/>
          <w:spacing w:val="-4"/>
          <w:sz w:val="28"/>
        </w:rPr>
        <w:t> </w:t>
      </w:r>
      <w:r>
        <w:rPr>
          <w:sz w:val="28"/>
        </w:rPr>
        <w:t>Ông</w:t>
      </w:r>
      <w:r>
        <w:rPr>
          <w:spacing w:val="-7"/>
          <w:sz w:val="28"/>
        </w:rPr>
        <w:t> </w:t>
      </w:r>
      <w:r>
        <w:rPr>
          <w:sz w:val="28"/>
        </w:rPr>
        <w:t>Trần</w:t>
      </w:r>
      <w:r>
        <w:rPr>
          <w:spacing w:val="-2"/>
          <w:sz w:val="28"/>
        </w:rPr>
        <w:t> </w:t>
      </w:r>
      <w:r>
        <w:rPr>
          <w:sz w:val="28"/>
        </w:rPr>
        <w:t>Văn</w:t>
      </w:r>
      <w:r>
        <w:rPr>
          <w:spacing w:val="-3"/>
          <w:sz w:val="28"/>
        </w:rPr>
        <w:t> </w:t>
      </w:r>
      <w:r>
        <w:rPr>
          <w:sz w:val="28"/>
        </w:rPr>
        <w:t>T,</w:t>
      </w:r>
      <w:r>
        <w:rPr>
          <w:spacing w:val="-5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năm:</w:t>
      </w:r>
      <w:r>
        <w:rPr>
          <w:spacing w:val="-2"/>
          <w:sz w:val="28"/>
        </w:rPr>
        <w:t> 1959.</w:t>
      </w:r>
    </w:p>
    <w:p>
      <w:pPr>
        <w:pStyle w:val="ListParagraph"/>
        <w:numPr>
          <w:ilvl w:val="1"/>
          <w:numId w:val="1"/>
        </w:numPr>
        <w:tabs>
          <w:tab w:pos="912" w:val="left" w:leader="none"/>
        </w:tabs>
        <w:spacing w:line="240" w:lineRule="auto" w:before="62" w:after="0"/>
        <w:ind w:left="911" w:right="0" w:hanging="164"/>
        <w:jc w:val="left"/>
        <w:rPr>
          <w:b/>
          <w:sz w:val="28"/>
        </w:rPr>
      </w:pPr>
      <w:r>
        <w:rPr>
          <w:b/>
          <w:sz w:val="28"/>
        </w:rPr>
        <w:t>Bị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đơn:</w:t>
      </w:r>
      <w:r>
        <w:rPr>
          <w:b/>
          <w:spacing w:val="-4"/>
          <w:sz w:val="28"/>
        </w:rPr>
        <w:t> </w:t>
      </w:r>
      <w:r>
        <w:rPr>
          <w:sz w:val="28"/>
        </w:rPr>
        <w:t>Bà</w:t>
      </w:r>
      <w:r>
        <w:rPr>
          <w:spacing w:val="-3"/>
          <w:sz w:val="28"/>
        </w:rPr>
        <w:t> </w:t>
      </w:r>
      <w:r>
        <w:rPr>
          <w:sz w:val="28"/>
        </w:rPr>
        <w:t>Nguyễn</w:t>
      </w:r>
      <w:r>
        <w:rPr>
          <w:spacing w:val="-4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Hồng</w:t>
      </w:r>
      <w:r>
        <w:rPr>
          <w:spacing w:val="-3"/>
          <w:sz w:val="28"/>
        </w:rPr>
        <w:t> </w:t>
      </w:r>
      <w:r>
        <w:rPr>
          <w:sz w:val="28"/>
        </w:rPr>
        <w:t>N</w:t>
      </w:r>
      <w:r>
        <w:rPr>
          <w:spacing w:val="-3"/>
          <w:sz w:val="28"/>
        </w:rPr>
        <w:t> 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năm:</w:t>
      </w:r>
      <w:r>
        <w:rPr>
          <w:spacing w:val="-2"/>
          <w:sz w:val="28"/>
        </w:rPr>
        <w:t> 1964.</w:t>
      </w:r>
    </w:p>
    <w:p>
      <w:pPr>
        <w:pStyle w:val="BodyText"/>
        <w:ind w:left="748"/>
      </w:pPr>
      <w:r>
        <w:rPr/>
        <w:t>Cùng</w:t>
      </w:r>
      <w:r>
        <w:rPr>
          <w:spacing w:val="-9"/>
        </w:rPr>
        <w:t> </w:t>
      </w: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2"/>
        </w:rPr>
        <w:t> </w:t>
      </w:r>
      <w:r>
        <w:rPr/>
        <w:t>Thôn</w:t>
      </w:r>
      <w:r>
        <w:rPr>
          <w:spacing w:val="-1"/>
        </w:rPr>
        <w:t> </w:t>
      </w:r>
      <w:r>
        <w:rPr/>
        <w:t>T,</w:t>
      </w:r>
      <w:r>
        <w:rPr>
          <w:spacing w:val="-4"/>
        </w:rPr>
        <w:t> </w:t>
      </w:r>
      <w:r>
        <w:rPr/>
        <w:t>xã</w:t>
      </w:r>
      <w:r>
        <w:rPr>
          <w:spacing w:val="-3"/>
        </w:rPr>
        <w:t> </w:t>
      </w:r>
      <w:r>
        <w:rPr/>
        <w:t>L,</w:t>
      </w:r>
      <w:r>
        <w:rPr>
          <w:spacing w:val="-4"/>
        </w:rPr>
        <w:t> </w:t>
      </w:r>
      <w:r>
        <w:rPr/>
        <w:t>huyện</w:t>
      </w:r>
      <w:r>
        <w:rPr>
          <w:spacing w:val="-2"/>
        </w:rPr>
        <w:t> </w:t>
      </w:r>
      <w:r>
        <w:rPr/>
        <w:t>Ninh</w:t>
      </w:r>
      <w:r>
        <w:rPr>
          <w:spacing w:val="-3"/>
        </w:rPr>
        <w:t> </w:t>
      </w:r>
      <w:r>
        <w:rPr/>
        <w:t>Sơn,</w:t>
      </w:r>
      <w:r>
        <w:rPr>
          <w:spacing w:val="-4"/>
        </w:rPr>
        <w:t> </w:t>
      </w:r>
      <w:r>
        <w:rPr/>
        <w:t>tỉnh</w:t>
      </w:r>
      <w:r>
        <w:rPr>
          <w:spacing w:val="-2"/>
        </w:rPr>
        <w:t> </w:t>
      </w:r>
      <w:r>
        <w:rPr/>
        <w:t>Ninh</w:t>
      </w:r>
      <w:r>
        <w:rPr>
          <w:spacing w:val="-2"/>
        </w:rPr>
        <w:t> Thuận.</w:t>
      </w:r>
    </w:p>
    <w:p>
      <w:pPr>
        <w:pStyle w:val="ListParagraph"/>
        <w:numPr>
          <w:ilvl w:val="0"/>
          <w:numId w:val="1"/>
        </w:numPr>
        <w:tabs>
          <w:tab w:pos="1030" w:val="left" w:leader="none"/>
        </w:tabs>
        <w:spacing w:line="240" w:lineRule="auto" w:before="59" w:after="0"/>
        <w:ind w:left="1029" w:right="0" w:hanging="282"/>
        <w:jc w:val="left"/>
        <w:rPr>
          <w:sz w:val="28"/>
        </w:rPr>
      </w:pPr>
      <w:r>
        <w:rPr>
          <w:sz w:val="28"/>
        </w:rPr>
        <w:t>Hậu</w:t>
      </w:r>
      <w:r>
        <w:rPr>
          <w:spacing w:val="-2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6"/>
          <w:sz w:val="28"/>
        </w:rPr>
        <w:t> </w:t>
      </w:r>
      <w:r>
        <w:rPr>
          <w:sz w:val="28"/>
        </w:rPr>
        <w:t>việc</w:t>
      </w:r>
      <w:r>
        <w:rPr>
          <w:spacing w:val="-3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3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 vụ</w:t>
      </w:r>
      <w:r>
        <w:rPr>
          <w:spacing w:val="-5"/>
          <w:sz w:val="28"/>
        </w:rPr>
        <w:t> án: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</w:tabs>
        <w:spacing w:line="240" w:lineRule="auto" w:before="60" w:after="0"/>
        <w:ind w:left="182" w:right="469" w:firstLine="566"/>
        <w:jc w:val="left"/>
        <w:rPr>
          <w:sz w:val="28"/>
        </w:rPr>
      </w:pPr>
      <w:r>
        <w:rPr>
          <w:sz w:val="28"/>
        </w:rPr>
        <w:t>Ông</w:t>
      </w:r>
      <w:r>
        <w:rPr>
          <w:spacing w:val="30"/>
          <w:sz w:val="28"/>
        </w:rPr>
        <w:t> </w:t>
      </w:r>
      <w:r>
        <w:rPr>
          <w:sz w:val="28"/>
        </w:rPr>
        <w:t>Trần</w:t>
      </w:r>
      <w:r>
        <w:rPr>
          <w:spacing w:val="29"/>
          <w:sz w:val="28"/>
        </w:rPr>
        <w:t> </w:t>
      </w:r>
      <w:r>
        <w:rPr>
          <w:sz w:val="28"/>
        </w:rPr>
        <w:t>Văn</w:t>
      </w:r>
      <w:r>
        <w:rPr>
          <w:spacing w:val="29"/>
          <w:sz w:val="28"/>
        </w:rPr>
        <w:t> </w:t>
      </w:r>
      <w:r>
        <w:rPr>
          <w:sz w:val="28"/>
        </w:rPr>
        <w:t>Tcó</w:t>
      </w:r>
      <w:r>
        <w:rPr>
          <w:spacing w:val="27"/>
          <w:sz w:val="28"/>
        </w:rPr>
        <w:t> </w:t>
      </w:r>
      <w:r>
        <w:rPr>
          <w:sz w:val="28"/>
        </w:rPr>
        <w:t>quyền</w:t>
      </w:r>
      <w:r>
        <w:rPr>
          <w:spacing w:val="27"/>
          <w:sz w:val="28"/>
        </w:rPr>
        <w:t> </w:t>
      </w:r>
      <w:r>
        <w:rPr>
          <w:sz w:val="28"/>
        </w:rPr>
        <w:t>khởi</w:t>
      </w:r>
      <w:r>
        <w:rPr>
          <w:spacing w:val="27"/>
          <w:sz w:val="28"/>
        </w:rPr>
        <w:t> </w:t>
      </w:r>
      <w:r>
        <w:rPr>
          <w:sz w:val="28"/>
        </w:rPr>
        <w:t>kiện</w:t>
      </w:r>
      <w:r>
        <w:rPr>
          <w:spacing w:val="29"/>
          <w:sz w:val="28"/>
        </w:rPr>
        <w:t> </w:t>
      </w:r>
      <w:r>
        <w:rPr>
          <w:sz w:val="28"/>
        </w:rPr>
        <w:t>yêu</w:t>
      </w:r>
      <w:r>
        <w:rPr>
          <w:spacing w:val="29"/>
          <w:sz w:val="28"/>
        </w:rPr>
        <w:t> </w:t>
      </w:r>
      <w:r>
        <w:rPr>
          <w:sz w:val="28"/>
        </w:rPr>
        <w:t>cầu</w:t>
      </w:r>
      <w:r>
        <w:rPr>
          <w:spacing w:val="29"/>
          <w:sz w:val="28"/>
        </w:rPr>
        <w:t> </w:t>
      </w:r>
      <w:r>
        <w:rPr>
          <w:sz w:val="28"/>
        </w:rPr>
        <w:t>Tòa</w:t>
      </w:r>
      <w:r>
        <w:rPr>
          <w:spacing w:val="26"/>
          <w:sz w:val="28"/>
        </w:rPr>
        <w:t> </w:t>
      </w:r>
      <w:r>
        <w:rPr>
          <w:sz w:val="28"/>
        </w:rPr>
        <w:t>án</w:t>
      </w:r>
      <w:r>
        <w:rPr>
          <w:spacing w:val="27"/>
          <w:sz w:val="28"/>
        </w:rPr>
        <w:t> </w:t>
      </w:r>
      <w:r>
        <w:rPr>
          <w:sz w:val="28"/>
        </w:rPr>
        <w:t>giải</w:t>
      </w:r>
      <w:r>
        <w:rPr>
          <w:spacing w:val="29"/>
          <w:sz w:val="28"/>
        </w:rPr>
        <w:t> </w:t>
      </w:r>
      <w:r>
        <w:rPr>
          <w:sz w:val="28"/>
        </w:rPr>
        <w:t>quyết</w:t>
      </w:r>
      <w:r>
        <w:rPr>
          <w:spacing w:val="29"/>
          <w:sz w:val="28"/>
        </w:rPr>
        <w:t> </w:t>
      </w:r>
      <w:r>
        <w:rPr>
          <w:sz w:val="28"/>
        </w:rPr>
        <w:t>lại</w:t>
      </w:r>
      <w:r>
        <w:rPr>
          <w:spacing w:val="26"/>
          <w:sz w:val="28"/>
        </w:rPr>
        <w:t> </w:t>
      </w:r>
      <w:r>
        <w:rPr>
          <w:sz w:val="28"/>
        </w:rPr>
        <w:t>vụ</w:t>
      </w:r>
      <w:r>
        <w:rPr>
          <w:spacing w:val="26"/>
          <w:sz w:val="28"/>
        </w:rPr>
        <w:t> </w:t>
      </w:r>
      <w:r>
        <w:rPr>
          <w:sz w:val="28"/>
        </w:rPr>
        <w:t>án theo quy định tại khoản 1 Điều 218 của Bộ luật Tố tụng dân sự.</w:t>
      </w:r>
    </w:p>
    <w:p>
      <w:pPr>
        <w:pStyle w:val="ListParagraph"/>
        <w:numPr>
          <w:ilvl w:val="1"/>
          <w:numId w:val="1"/>
        </w:numPr>
        <w:tabs>
          <w:tab w:pos="912" w:val="left" w:leader="none"/>
        </w:tabs>
        <w:spacing w:line="240" w:lineRule="auto" w:before="60" w:after="0"/>
        <w:ind w:left="911" w:right="0" w:hanging="164"/>
        <w:jc w:val="left"/>
        <w:rPr>
          <w:sz w:val="28"/>
        </w:rPr>
      </w:pPr>
      <w:r>
        <w:rPr>
          <w:sz w:val="28"/>
        </w:rPr>
        <w:t>Án</w:t>
      </w:r>
      <w:r>
        <w:rPr>
          <w:spacing w:val="-3"/>
          <w:sz w:val="28"/>
        </w:rPr>
        <w:t> </w:t>
      </w:r>
      <w:r>
        <w:rPr>
          <w:sz w:val="28"/>
        </w:rPr>
        <w:t>phí:</w:t>
      </w:r>
      <w:r>
        <w:rPr>
          <w:spacing w:val="-3"/>
          <w:sz w:val="28"/>
        </w:rPr>
        <w:t> </w:t>
      </w:r>
      <w:r>
        <w:rPr>
          <w:sz w:val="28"/>
        </w:rPr>
        <w:t>Ông</w:t>
      </w:r>
      <w:r>
        <w:rPr>
          <w:spacing w:val="-2"/>
          <w:sz w:val="28"/>
        </w:rPr>
        <w:t> </w:t>
      </w:r>
      <w:r>
        <w:rPr>
          <w:sz w:val="28"/>
        </w:rPr>
        <w:t>Trần</w:t>
      </w:r>
      <w:r>
        <w:rPr>
          <w:spacing w:val="-3"/>
          <w:sz w:val="28"/>
        </w:rPr>
        <w:t> </w:t>
      </w:r>
      <w:r>
        <w:rPr>
          <w:sz w:val="28"/>
        </w:rPr>
        <w:t>Văn</w:t>
      </w:r>
      <w:r>
        <w:rPr>
          <w:spacing w:val="-3"/>
          <w:sz w:val="28"/>
        </w:rPr>
        <w:t> </w:t>
      </w:r>
      <w:r>
        <w:rPr>
          <w:sz w:val="28"/>
        </w:rPr>
        <w:t>Tđược</w:t>
      </w:r>
      <w:r>
        <w:rPr>
          <w:spacing w:val="-3"/>
          <w:sz w:val="28"/>
        </w:rPr>
        <w:t> </w:t>
      </w:r>
      <w:r>
        <w:rPr>
          <w:sz w:val="28"/>
        </w:rPr>
        <w:t>miễn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phí.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240" w:lineRule="auto" w:before="62" w:after="0"/>
        <w:ind w:left="182" w:right="475" w:firstLine="566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 nghị</w:t>
      </w:r>
      <w:r>
        <w:rPr>
          <w:spacing w:val="-1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này</w:t>
      </w:r>
      <w:r>
        <w:rPr>
          <w:spacing w:val="-4"/>
          <w:sz w:val="28"/>
        </w:rPr>
        <w:t> </w:t>
      </w:r>
      <w:r>
        <w:rPr>
          <w:sz w:val="28"/>
        </w:rPr>
        <w:t>trong</w:t>
      </w:r>
      <w:r>
        <w:rPr>
          <w:spacing w:val="-2"/>
          <w:sz w:val="28"/>
        </w:rPr>
        <w:t> </w:t>
      </w:r>
      <w:r>
        <w:rPr>
          <w:sz w:val="28"/>
        </w:rPr>
        <w:t>thời</w:t>
      </w:r>
      <w:r>
        <w:rPr>
          <w:spacing w:val="-1"/>
          <w:sz w:val="28"/>
        </w:rPr>
        <w:t> </w:t>
      </w:r>
      <w:r>
        <w:rPr>
          <w:sz w:val="28"/>
        </w:rPr>
        <w:t>hạn</w:t>
      </w:r>
      <w:r>
        <w:rPr>
          <w:spacing w:val="-1"/>
          <w:sz w:val="28"/>
        </w:rPr>
        <w:t> </w:t>
      </w:r>
      <w:r>
        <w:rPr>
          <w:sz w:val="28"/>
        </w:rPr>
        <w:t>07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z w:val="28"/>
        </w:rPr>
        <w:t>kể</w:t>
      </w:r>
      <w:r>
        <w:rPr>
          <w:spacing w:val="-1"/>
          <w:sz w:val="28"/>
        </w:rPr>
        <w:t> </w:t>
      </w:r>
      <w:r>
        <w:rPr>
          <w:sz w:val="28"/>
        </w:rPr>
        <w:t>từ</w:t>
      </w:r>
      <w:r>
        <w:rPr>
          <w:spacing w:val="-3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nhận</w:t>
      </w:r>
      <w:r>
        <w:rPr>
          <w:spacing w:val="-2"/>
          <w:sz w:val="28"/>
        </w:rPr>
        <w:t> </w:t>
      </w:r>
      <w:r>
        <w:rPr>
          <w:sz w:val="28"/>
        </w:rPr>
        <w:t>được</w:t>
      </w:r>
      <w:r>
        <w:rPr>
          <w:spacing w:val="-2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hoặc kể từ ngày quyết định được niêm yết theo quy định của Bộ luật tố tụng dân sự.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9"/>
        </w:r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5"/>
        <w:gridCol w:w="3333"/>
      </w:tblGrid>
      <w:tr>
        <w:trPr>
          <w:trHeight w:val="2984" w:hRule="atLeast"/>
        </w:trPr>
        <w:tc>
          <w:tcPr>
            <w:tcW w:w="4605" w:type="dxa"/>
          </w:tcPr>
          <w:p>
            <w:pPr>
              <w:pStyle w:val="TableParagraph"/>
              <w:spacing w:line="287" w:lineRule="exact"/>
              <w:ind w:left="5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Nơi</w:t>
            </w:r>
            <w:r>
              <w:rPr>
                <w:b/>
                <w:i/>
                <w:spacing w:val="-7"/>
                <w:sz w:val="26"/>
              </w:rPr>
              <w:t> </w:t>
            </w:r>
            <w:r>
              <w:rPr>
                <w:b/>
                <w:i/>
                <w:spacing w:val="-2"/>
                <w:sz w:val="26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0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Ninh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Thuận;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Ninh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Sơn;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Ninh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Sơn;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3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án,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AV.</w:t>
            </w:r>
          </w:p>
        </w:tc>
        <w:tc>
          <w:tcPr>
            <w:tcW w:w="3333" w:type="dxa"/>
          </w:tcPr>
          <w:p>
            <w:pPr>
              <w:pStyle w:val="TableParagraph"/>
              <w:spacing w:line="311" w:lineRule="exact"/>
              <w:ind w:left="1474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302" w:lineRule="exact"/>
              <w:ind w:left="1405"/>
              <w:rPr>
                <w:b/>
                <w:sz w:val="28"/>
              </w:rPr>
            </w:pPr>
            <w:r>
              <w:rPr>
                <w:b/>
                <w:sz w:val="28"/>
              </w:rPr>
              <w:t>Lê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Mỹ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Kim</w:t>
            </w:r>
          </w:p>
        </w:tc>
      </w:tr>
    </w:tbl>
    <w:sectPr>
      <w:type w:val="continuous"/>
      <w:pgSz w:w="11910" w:h="16840"/>
      <w:pgMar w:top="1100" w:bottom="280" w:left="15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22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65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07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50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92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35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77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20" w:hanging="1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82" w:hanging="33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911" w:hanging="164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2">
      <w:start w:val="0"/>
      <w:numFmt w:val="bullet"/>
      <w:lvlText w:val="•"/>
      <w:lvlJc w:val="left"/>
      <w:pPr>
        <w:ind w:left="1914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08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0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96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0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8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78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60"/>
      <w:ind w:left="18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959" w:right="138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59"/>
      <w:ind w:left="182" w:hanging="164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dc:title>TOÀ ÁN NHÂN DÂN           CỘNG HOÀ XÃ HỘI CHỦ NGHĨA VIỆT NAM</dc:title>
  <dcterms:created xsi:type="dcterms:W3CDTF">2023-04-24T16:50:12Z</dcterms:created>
  <dcterms:modified xsi:type="dcterms:W3CDTF">2023-04-24T16:50:12Z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